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DD1FF" w14:textId="77777777" w:rsidR="0098411B" w:rsidRPr="00A041EA" w:rsidRDefault="0098411B" w:rsidP="0098411B">
      <w:pPr>
        <w:spacing w:before="217"/>
        <w:ind w:left="720" w:right="2776"/>
        <w:rPr>
          <w:rFonts w:ascii="Lato" w:hAnsi="Lato"/>
          <w:b/>
          <w:spacing w:val="-13"/>
          <w:sz w:val="22"/>
          <w:szCs w:val="22"/>
        </w:rPr>
      </w:pPr>
      <w:bookmarkStart w:id="0" w:name="_GoBack"/>
      <w:bookmarkEnd w:id="0"/>
      <w:r w:rsidRPr="00A041EA">
        <w:rPr>
          <w:rFonts w:ascii="Lato" w:hAnsi="Lato"/>
          <w:b/>
          <w:spacing w:val="-13"/>
          <w:sz w:val="22"/>
          <w:szCs w:val="22"/>
        </w:rPr>
        <w:t xml:space="preserve">                                                 </w:t>
      </w:r>
      <w:r w:rsidR="00736D97" w:rsidRPr="00A041EA">
        <w:rPr>
          <w:rFonts w:ascii="Lato" w:hAnsi="Lato"/>
          <w:b/>
          <w:spacing w:val="-13"/>
          <w:sz w:val="22"/>
          <w:szCs w:val="22"/>
        </w:rPr>
        <w:t xml:space="preserve">       </w:t>
      </w:r>
      <w:r w:rsidR="00A041EA">
        <w:rPr>
          <w:rFonts w:ascii="Lato" w:hAnsi="Lato"/>
          <w:b/>
          <w:spacing w:val="-13"/>
          <w:sz w:val="22"/>
          <w:szCs w:val="22"/>
        </w:rPr>
        <w:t xml:space="preserve">     </w:t>
      </w:r>
      <w:r w:rsidRPr="00A041EA">
        <w:rPr>
          <w:rFonts w:ascii="Lato" w:hAnsi="Lato"/>
          <w:b/>
          <w:spacing w:val="-13"/>
          <w:sz w:val="22"/>
          <w:szCs w:val="22"/>
        </w:rPr>
        <w:t xml:space="preserve"> </w:t>
      </w:r>
      <w:r w:rsidR="00736D97" w:rsidRPr="00A041EA">
        <w:rPr>
          <w:rFonts w:ascii="Lato" w:hAnsi="Lato"/>
          <w:b/>
          <w:spacing w:val="-13"/>
          <w:sz w:val="22"/>
          <w:szCs w:val="22"/>
        </w:rPr>
        <w:t>Araluen</w:t>
      </w:r>
      <w:r w:rsidRPr="00A041EA">
        <w:rPr>
          <w:rFonts w:ascii="Lato" w:hAnsi="Lato"/>
          <w:b/>
          <w:spacing w:val="-14"/>
          <w:sz w:val="22"/>
          <w:szCs w:val="22"/>
        </w:rPr>
        <w:t xml:space="preserve"> Community </w:t>
      </w:r>
      <w:r w:rsidRPr="00A041EA">
        <w:rPr>
          <w:rFonts w:ascii="Lato" w:hAnsi="Lato"/>
          <w:b/>
          <w:spacing w:val="-13"/>
          <w:sz w:val="22"/>
          <w:szCs w:val="22"/>
        </w:rPr>
        <w:t xml:space="preserve">Reference Group </w:t>
      </w:r>
    </w:p>
    <w:p w14:paraId="63CDE2B9" w14:textId="77777777" w:rsidR="0098411B" w:rsidRPr="00A041EA" w:rsidRDefault="0098411B" w:rsidP="0098411B">
      <w:pPr>
        <w:spacing w:before="217"/>
        <w:ind w:left="720" w:right="2776"/>
        <w:rPr>
          <w:rFonts w:ascii="Lato" w:hAnsi="Lato"/>
          <w:b/>
          <w:sz w:val="22"/>
          <w:szCs w:val="22"/>
        </w:rPr>
      </w:pPr>
      <w:r w:rsidRPr="00A041EA">
        <w:rPr>
          <w:rFonts w:ascii="Lato" w:hAnsi="Lato"/>
          <w:b/>
          <w:spacing w:val="-13"/>
          <w:sz w:val="22"/>
          <w:szCs w:val="22"/>
        </w:rPr>
        <w:t xml:space="preserve">                                                                     Terms </w:t>
      </w:r>
      <w:r w:rsidRPr="00A041EA">
        <w:rPr>
          <w:rFonts w:ascii="Lato" w:hAnsi="Lato"/>
          <w:b/>
          <w:spacing w:val="-8"/>
          <w:sz w:val="22"/>
          <w:szCs w:val="22"/>
        </w:rPr>
        <w:t xml:space="preserve">of </w:t>
      </w:r>
      <w:r w:rsidRPr="00A041EA">
        <w:rPr>
          <w:rFonts w:ascii="Lato" w:hAnsi="Lato"/>
          <w:b/>
          <w:spacing w:val="-14"/>
          <w:sz w:val="22"/>
          <w:szCs w:val="22"/>
        </w:rPr>
        <w:t xml:space="preserve">Reference </w:t>
      </w:r>
      <w:r w:rsidR="00AA41E9">
        <w:rPr>
          <w:rFonts w:ascii="Lato" w:hAnsi="Lato"/>
          <w:b/>
          <w:spacing w:val="-14"/>
          <w:sz w:val="22"/>
          <w:szCs w:val="22"/>
        </w:rPr>
        <w:t xml:space="preserve">- </w:t>
      </w:r>
      <w:r w:rsidRPr="00A041EA">
        <w:rPr>
          <w:rFonts w:ascii="Lato" w:hAnsi="Lato"/>
          <w:b/>
          <w:spacing w:val="-14"/>
          <w:sz w:val="22"/>
          <w:szCs w:val="22"/>
        </w:rPr>
        <w:t>2022</w:t>
      </w:r>
    </w:p>
    <w:p w14:paraId="6C7FD129" w14:textId="77777777" w:rsidR="0098411B" w:rsidRPr="00A041EA" w:rsidRDefault="0098411B" w:rsidP="0098411B">
      <w:pPr>
        <w:pStyle w:val="Heading1"/>
        <w:spacing w:before="275"/>
        <w:rPr>
          <w:rFonts w:ascii="Lato" w:hAnsi="Lato"/>
          <w:sz w:val="22"/>
          <w:szCs w:val="22"/>
        </w:rPr>
      </w:pPr>
      <w:r w:rsidRPr="00A041EA">
        <w:rPr>
          <w:rFonts w:ascii="Lato" w:hAnsi="Lato"/>
          <w:sz w:val="22"/>
          <w:szCs w:val="22"/>
        </w:rPr>
        <w:t>Araluen Cultural Precinct</w:t>
      </w:r>
    </w:p>
    <w:p w14:paraId="7E87F8B1" w14:textId="43CE3012" w:rsidR="0098411B" w:rsidRPr="00A041EA" w:rsidRDefault="0098411B" w:rsidP="0098411B">
      <w:pPr>
        <w:pStyle w:val="BodyText"/>
        <w:spacing w:before="123"/>
        <w:ind w:left="848" w:right="260"/>
        <w:jc w:val="both"/>
        <w:rPr>
          <w:rFonts w:ascii="Lato" w:hAnsi="Lato"/>
          <w:sz w:val="22"/>
          <w:szCs w:val="22"/>
        </w:rPr>
      </w:pPr>
      <w:r w:rsidRPr="00A041EA">
        <w:rPr>
          <w:rFonts w:ascii="Lato" w:hAnsi="Lato"/>
          <w:sz w:val="22"/>
          <w:szCs w:val="22"/>
        </w:rPr>
        <w:t xml:space="preserve">The Araluen Cultural Precinct </w:t>
      </w:r>
      <w:r w:rsidR="00A74741">
        <w:rPr>
          <w:rFonts w:ascii="Lato" w:hAnsi="Lato"/>
          <w:sz w:val="22"/>
          <w:szCs w:val="22"/>
        </w:rPr>
        <w:t>(</w:t>
      </w:r>
      <w:r w:rsidR="00A74741" w:rsidRPr="00FB377B">
        <w:rPr>
          <w:rFonts w:ascii="Lato" w:hAnsi="Lato"/>
          <w:b/>
          <w:sz w:val="22"/>
          <w:szCs w:val="22"/>
        </w:rPr>
        <w:t>Precinct</w:t>
      </w:r>
      <w:r w:rsidR="00A74741">
        <w:rPr>
          <w:rFonts w:ascii="Lato" w:hAnsi="Lato"/>
          <w:sz w:val="22"/>
          <w:szCs w:val="22"/>
        </w:rPr>
        <w:t xml:space="preserve">) </w:t>
      </w:r>
      <w:r w:rsidRPr="00A041EA">
        <w:rPr>
          <w:rFonts w:ascii="Lato" w:hAnsi="Lato"/>
          <w:sz w:val="22"/>
          <w:szCs w:val="22"/>
        </w:rPr>
        <w:t>incorporates the Araluen Arts Centre</w:t>
      </w:r>
      <w:r w:rsidR="00A74741">
        <w:rPr>
          <w:rFonts w:ascii="Lato" w:hAnsi="Lato"/>
          <w:sz w:val="22"/>
          <w:szCs w:val="22"/>
        </w:rPr>
        <w:t xml:space="preserve"> (</w:t>
      </w:r>
      <w:r w:rsidR="00A74741" w:rsidRPr="00CD1D75">
        <w:rPr>
          <w:rFonts w:ascii="Lato" w:hAnsi="Lato"/>
          <w:b/>
          <w:sz w:val="22"/>
          <w:szCs w:val="22"/>
        </w:rPr>
        <w:t>AAC</w:t>
      </w:r>
      <w:r w:rsidR="00A74741">
        <w:rPr>
          <w:rFonts w:ascii="Lato" w:hAnsi="Lato"/>
          <w:sz w:val="22"/>
          <w:szCs w:val="22"/>
        </w:rPr>
        <w:t>)</w:t>
      </w:r>
      <w:r w:rsidRPr="00A041EA">
        <w:rPr>
          <w:rFonts w:ascii="Lato" w:hAnsi="Lato"/>
          <w:sz w:val="22"/>
          <w:szCs w:val="22"/>
        </w:rPr>
        <w:t xml:space="preserve"> (with four</w:t>
      </w:r>
      <w:r w:rsidR="00FB377B">
        <w:rPr>
          <w:rFonts w:ascii="Lato" w:hAnsi="Lato"/>
          <w:sz w:val="22"/>
          <w:szCs w:val="22"/>
        </w:rPr>
        <w:t xml:space="preserve"> (4)</w:t>
      </w:r>
      <w:r w:rsidRPr="00A041EA">
        <w:rPr>
          <w:rFonts w:ascii="Lato" w:hAnsi="Lato"/>
          <w:sz w:val="22"/>
          <w:szCs w:val="22"/>
        </w:rPr>
        <w:t xml:space="preserve"> visual art galleries, a </w:t>
      </w:r>
      <w:r w:rsidR="0016141C">
        <w:rPr>
          <w:rFonts w:ascii="Lato" w:hAnsi="Lato"/>
          <w:sz w:val="22"/>
          <w:szCs w:val="22"/>
        </w:rPr>
        <w:t>five hundred (</w:t>
      </w:r>
      <w:r w:rsidRPr="00A041EA">
        <w:rPr>
          <w:rFonts w:ascii="Lato" w:hAnsi="Lato"/>
          <w:sz w:val="22"/>
          <w:szCs w:val="22"/>
        </w:rPr>
        <w:t>500</w:t>
      </w:r>
      <w:r w:rsidR="0016141C">
        <w:rPr>
          <w:rFonts w:ascii="Lato" w:hAnsi="Lato"/>
          <w:sz w:val="22"/>
          <w:szCs w:val="22"/>
        </w:rPr>
        <w:t xml:space="preserve">) </w:t>
      </w:r>
      <w:r w:rsidRPr="00A041EA">
        <w:rPr>
          <w:rFonts w:ascii="Lato" w:hAnsi="Lato"/>
          <w:sz w:val="22"/>
          <w:szCs w:val="22"/>
        </w:rPr>
        <w:t xml:space="preserve">seat proscenium arch theatre, a multi-purpose hall </w:t>
      </w:r>
      <w:r w:rsidR="0016141C">
        <w:rPr>
          <w:rFonts w:ascii="Lato" w:hAnsi="Lato"/>
          <w:sz w:val="22"/>
          <w:szCs w:val="22"/>
        </w:rPr>
        <w:t>(</w:t>
      </w:r>
      <w:r w:rsidR="00A74741">
        <w:rPr>
          <w:rFonts w:ascii="Lato" w:hAnsi="Lato"/>
          <w:sz w:val="22"/>
          <w:szCs w:val="22"/>
        </w:rPr>
        <w:t xml:space="preserve">known as </w:t>
      </w:r>
      <w:r w:rsidRPr="00A041EA">
        <w:rPr>
          <w:rFonts w:ascii="Lato" w:hAnsi="Lato"/>
          <w:sz w:val="22"/>
          <w:szCs w:val="22"/>
        </w:rPr>
        <w:t>“Witchetty’s”</w:t>
      </w:r>
      <w:r w:rsidR="0016141C">
        <w:rPr>
          <w:rFonts w:ascii="Lato" w:hAnsi="Lato"/>
          <w:sz w:val="22"/>
          <w:szCs w:val="22"/>
        </w:rPr>
        <w:t>)</w:t>
      </w:r>
      <w:r w:rsidRPr="00A041EA">
        <w:rPr>
          <w:rFonts w:ascii="Lato" w:hAnsi="Lato"/>
          <w:sz w:val="22"/>
          <w:szCs w:val="22"/>
        </w:rPr>
        <w:t xml:space="preserve"> and an outdoor performance space), the Central Australian Aviation Museum, Central Craft, Yaye’s Café, Folk Cottage, </w:t>
      </w:r>
      <w:r w:rsidR="0016141C">
        <w:rPr>
          <w:rFonts w:ascii="Lato" w:hAnsi="Lato"/>
          <w:sz w:val="22"/>
          <w:szCs w:val="22"/>
        </w:rPr>
        <w:t xml:space="preserve">and </w:t>
      </w:r>
      <w:r w:rsidRPr="00A041EA">
        <w:rPr>
          <w:rFonts w:ascii="Lato" w:hAnsi="Lato"/>
          <w:sz w:val="22"/>
          <w:szCs w:val="22"/>
        </w:rPr>
        <w:t>Artist in Residence Space encompasses several significant public works of art, a number of Aboriginal sacred sites and a range of heritage properties related to its aviation history. The Museum and Art Gallery of the Northern Territory also manages the Museum of Central Australia and the Strehlow Research Centre</w:t>
      </w:r>
      <w:r w:rsidR="0016141C">
        <w:rPr>
          <w:rFonts w:ascii="Lato" w:hAnsi="Lato"/>
          <w:sz w:val="22"/>
          <w:szCs w:val="22"/>
        </w:rPr>
        <w:t>,</w:t>
      </w:r>
      <w:r w:rsidRPr="00A041EA">
        <w:rPr>
          <w:rFonts w:ascii="Lato" w:hAnsi="Lato"/>
          <w:sz w:val="22"/>
          <w:szCs w:val="22"/>
        </w:rPr>
        <w:t xml:space="preserve"> which is located on the Precinct.</w:t>
      </w:r>
    </w:p>
    <w:p w14:paraId="415CA698" w14:textId="77777777" w:rsidR="0098411B" w:rsidRPr="00A041EA" w:rsidRDefault="0098411B" w:rsidP="0098411B">
      <w:pPr>
        <w:pStyle w:val="BodyText"/>
        <w:spacing w:before="9"/>
        <w:rPr>
          <w:rFonts w:ascii="Lato" w:hAnsi="Lato"/>
          <w:sz w:val="22"/>
          <w:szCs w:val="22"/>
        </w:rPr>
      </w:pPr>
    </w:p>
    <w:p w14:paraId="1A6FFEA5" w14:textId="5816E9DF" w:rsidR="0098411B" w:rsidRPr="00A041EA" w:rsidRDefault="0098411B" w:rsidP="0098411B">
      <w:pPr>
        <w:pStyle w:val="BodyText"/>
        <w:ind w:left="848" w:right="261"/>
        <w:jc w:val="both"/>
        <w:rPr>
          <w:rFonts w:ascii="Lato" w:hAnsi="Lato"/>
          <w:sz w:val="22"/>
          <w:szCs w:val="22"/>
        </w:rPr>
      </w:pPr>
      <w:r w:rsidRPr="00A041EA">
        <w:rPr>
          <w:rFonts w:ascii="Lato" w:hAnsi="Lato"/>
          <w:sz w:val="22"/>
          <w:szCs w:val="22"/>
        </w:rPr>
        <w:t xml:space="preserve">The Precinct is home to some of the most significant artistic, cultural and historical experiences in Alice Springs and provides a unique visitor experience, encompassing Central Australia’s key cultural institutions and collections. The </w:t>
      </w:r>
      <w:r w:rsidR="00A74741">
        <w:rPr>
          <w:rFonts w:ascii="Lato" w:hAnsi="Lato"/>
          <w:sz w:val="22"/>
          <w:szCs w:val="22"/>
        </w:rPr>
        <w:t>AAC</w:t>
      </w:r>
      <w:r w:rsidRPr="00A041EA">
        <w:rPr>
          <w:rFonts w:ascii="Lato" w:hAnsi="Lato"/>
          <w:sz w:val="22"/>
          <w:szCs w:val="22"/>
        </w:rPr>
        <w:t xml:space="preserve"> presents an annual program of exhibitions, theatre, and film, hosting iconic events such as the nationally significant Desert Mob and the world famous Beanie Festival.</w:t>
      </w:r>
    </w:p>
    <w:p w14:paraId="5588C938" w14:textId="77777777" w:rsidR="0098411B" w:rsidRPr="00A041EA" w:rsidRDefault="0098411B" w:rsidP="0098411B">
      <w:pPr>
        <w:pStyle w:val="BodyText"/>
        <w:spacing w:before="11"/>
        <w:rPr>
          <w:rFonts w:ascii="Lato" w:hAnsi="Lato"/>
          <w:sz w:val="22"/>
          <w:szCs w:val="22"/>
        </w:rPr>
      </w:pPr>
    </w:p>
    <w:p w14:paraId="7B9C5BE8" w14:textId="77777777" w:rsidR="0098411B" w:rsidRPr="00A041EA" w:rsidRDefault="0098411B" w:rsidP="0098411B">
      <w:pPr>
        <w:pStyle w:val="Heading1"/>
        <w:rPr>
          <w:rFonts w:ascii="Lato" w:hAnsi="Lato"/>
          <w:sz w:val="22"/>
          <w:szCs w:val="22"/>
        </w:rPr>
      </w:pPr>
      <w:r w:rsidRPr="00A041EA">
        <w:rPr>
          <w:rFonts w:ascii="Lato" w:hAnsi="Lato"/>
          <w:sz w:val="22"/>
          <w:szCs w:val="22"/>
        </w:rPr>
        <w:t>Aims of the Precinct</w:t>
      </w:r>
    </w:p>
    <w:p w14:paraId="387EC912" w14:textId="43A3270A" w:rsidR="0098411B" w:rsidRPr="00A041EA" w:rsidRDefault="00A74741" w:rsidP="0098411B">
      <w:pPr>
        <w:pStyle w:val="BodyText"/>
        <w:spacing w:before="122"/>
        <w:ind w:left="848" w:right="260"/>
        <w:jc w:val="both"/>
        <w:rPr>
          <w:rFonts w:ascii="Lato" w:hAnsi="Lato"/>
          <w:sz w:val="22"/>
          <w:szCs w:val="22"/>
        </w:rPr>
      </w:pPr>
      <w:r>
        <w:rPr>
          <w:rFonts w:ascii="Lato" w:hAnsi="Lato"/>
          <w:sz w:val="22"/>
          <w:szCs w:val="22"/>
        </w:rPr>
        <w:t xml:space="preserve">The </w:t>
      </w:r>
      <w:r w:rsidR="0098411B" w:rsidRPr="00A041EA">
        <w:rPr>
          <w:rFonts w:ascii="Lato" w:hAnsi="Lato"/>
          <w:sz w:val="22"/>
          <w:szCs w:val="22"/>
        </w:rPr>
        <w:t>Precinct aims to fulfil broad community aspirations across the arts, culture and history fields by creating an integrated visitor experience encompassing the region’s key cultural institutions and collections.</w:t>
      </w:r>
      <w:r w:rsidR="00321643">
        <w:rPr>
          <w:rFonts w:ascii="Lato" w:hAnsi="Lato"/>
          <w:sz w:val="22"/>
          <w:szCs w:val="22"/>
        </w:rPr>
        <w:t xml:space="preserve"> </w:t>
      </w:r>
      <w:r w:rsidR="00FB377B">
        <w:rPr>
          <w:rFonts w:ascii="Lato" w:hAnsi="Lato"/>
          <w:sz w:val="22"/>
          <w:szCs w:val="22"/>
        </w:rPr>
        <w:t xml:space="preserve">The </w:t>
      </w:r>
      <w:r w:rsidR="008572FB">
        <w:rPr>
          <w:rFonts w:ascii="Lato" w:hAnsi="Lato"/>
          <w:sz w:val="22"/>
          <w:szCs w:val="22"/>
        </w:rPr>
        <w:t>Precinct</w:t>
      </w:r>
      <w:r>
        <w:rPr>
          <w:rFonts w:ascii="Lato" w:hAnsi="Lato"/>
          <w:sz w:val="22"/>
          <w:szCs w:val="22"/>
        </w:rPr>
        <w:t xml:space="preserve"> </w:t>
      </w:r>
      <w:r w:rsidR="00321643">
        <w:rPr>
          <w:rFonts w:ascii="Lato" w:hAnsi="Lato"/>
          <w:sz w:val="22"/>
          <w:szCs w:val="22"/>
        </w:rPr>
        <w:t>also acts as an ‘arts incubator’ supporting local visual and performing artists, most recently providing spaces for Guts Dance to work from (the dance studio) and Tjampi Weavers to work from (the artist in residence space).</w:t>
      </w:r>
    </w:p>
    <w:p w14:paraId="72F47FB1" w14:textId="77777777" w:rsidR="0098411B" w:rsidRPr="00A041EA" w:rsidRDefault="0098411B" w:rsidP="0098411B">
      <w:pPr>
        <w:pStyle w:val="BodyText"/>
        <w:spacing w:before="1"/>
        <w:rPr>
          <w:rFonts w:ascii="Lato" w:hAnsi="Lato"/>
          <w:sz w:val="22"/>
          <w:szCs w:val="22"/>
        </w:rPr>
      </w:pPr>
    </w:p>
    <w:p w14:paraId="28D3A66F" w14:textId="77777777" w:rsidR="0098411B" w:rsidRPr="00A041EA" w:rsidRDefault="0098411B" w:rsidP="0098411B">
      <w:pPr>
        <w:pStyle w:val="BodyText"/>
        <w:ind w:left="848" w:right="267"/>
        <w:jc w:val="both"/>
        <w:rPr>
          <w:rFonts w:ascii="Lato" w:hAnsi="Lato"/>
          <w:sz w:val="22"/>
          <w:szCs w:val="22"/>
        </w:rPr>
      </w:pPr>
      <w:r w:rsidRPr="00A041EA">
        <w:rPr>
          <w:rFonts w:ascii="Lato" w:hAnsi="Lato"/>
          <w:sz w:val="22"/>
          <w:szCs w:val="22"/>
        </w:rPr>
        <w:t>The Precinct aims to provide local, national and international visitors with opportunities to be informed, entertained and inspired, offering visitors a quality experience and ability to:</w:t>
      </w:r>
    </w:p>
    <w:p w14:paraId="5AA4B0FC" w14:textId="77777777" w:rsidR="0098411B" w:rsidRPr="00A041EA" w:rsidRDefault="0098411B" w:rsidP="0098411B">
      <w:pPr>
        <w:pStyle w:val="BodyText"/>
        <w:spacing w:before="10"/>
        <w:rPr>
          <w:rFonts w:ascii="Lato" w:hAnsi="Lato"/>
          <w:sz w:val="22"/>
          <w:szCs w:val="22"/>
        </w:rPr>
      </w:pPr>
    </w:p>
    <w:p w14:paraId="7B26AA61" w14:textId="651D8F69" w:rsidR="0098411B" w:rsidRPr="00A041EA" w:rsidRDefault="00A74741" w:rsidP="0098411B">
      <w:pPr>
        <w:pStyle w:val="ListParagraph"/>
        <w:widowControl w:val="0"/>
        <w:numPr>
          <w:ilvl w:val="0"/>
          <w:numId w:val="2"/>
        </w:numPr>
        <w:tabs>
          <w:tab w:val="left" w:pos="1700"/>
          <w:tab w:val="left" w:pos="1701"/>
        </w:tabs>
        <w:autoSpaceDE w:val="0"/>
        <w:autoSpaceDN w:val="0"/>
        <w:spacing w:before="1" w:line="268" w:lineRule="exact"/>
        <w:contextualSpacing w:val="0"/>
        <w:rPr>
          <w:rFonts w:ascii="Lato" w:hAnsi="Lato"/>
          <w:sz w:val="22"/>
          <w:szCs w:val="22"/>
        </w:rPr>
      </w:pPr>
      <w:r>
        <w:rPr>
          <w:rFonts w:ascii="Lato" w:hAnsi="Lato"/>
          <w:sz w:val="22"/>
          <w:szCs w:val="22"/>
        </w:rPr>
        <w:t>p</w:t>
      </w:r>
      <w:r w:rsidR="0098411B" w:rsidRPr="00A041EA">
        <w:rPr>
          <w:rFonts w:ascii="Lato" w:hAnsi="Lato"/>
          <w:sz w:val="22"/>
          <w:szCs w:val="22"/>
        </w:rPr>
        <w:t>articipate in and enjoy all forms of the visual arts, crafts and performing</w:t>
      </w:r>
      <w:r w:rsidR="0098411B" w:rsidRPr="00A041EA">
        <w:rPr>
          <w:rFonts w:ascii="Lato" w:hAnsi="Lato"/>
          <w:spacing w:val="-15"/>
          <w:sz w:val="22"/>
          <w:szCs w:val="22"/>
        </w:rPr>
        <w:t xml:space="preserve"> </w:t>
      </w:r>
      <w:r w:rsidR="0098411B" w:rsidRPr="00A041EA">
        <w:rPr>
          <w:rFonts w:ascii="Lato" w:hAnsi="Lato"/>
          <w:sz w:val="22"/>
          <w:szCs w:val="22"/>
        </w:rPr>
        <w:t>arts;</w:t>
      </w:r>
    </w:p>
    <w:p w14:paraId="15634E97" w14:textId="3A13ABC0" w:rsidR="0098411B" w:rsidRPr="00A041EA" w:rsidRDefault="00A74741" w:rsidP="0098411B">
      <w:pPr>
        <w:pStyle w:val="ListParagraph"/>
        <w:widowControl w:val="0"/>
        <w:numPr>
          <w:ilvl w:val="0"/>
          <w:numId w:val="2"/>
        </w:numPr>
        <w:tabs>
          <w:tab w:val="left" w:pos="1700"/>
          <w:tab w:val="left" w:pos="1701"/>
        </w:tabs>
        <w:autoSpaceDE w:val="0"/>
        <w:autoSpaceDN w:val="0"/>
        <w:ind w:right="261"/>
        <w:contextualSpacing w:val="0"/>
        <w:rPr>
          <w:rFonts w:ascii="Lato" w:hAnsi="Lato"/>
          <w:sz w:val="22"/>
          <w:szCs w:val="22"/>
        </w:rPr>
      </w:pPr>
      <w:r>
        <w:rPr>
          <w:rFonts w:ascii="Lato" w:hAnsi="Lato"/>
          <w:sz w:val="22"/>
          <w:szCs w:val="22"/>
        </w:rPr>
        <w:t>l</w:t>
      </w:r>
      <w:r w:rsidR="0098411B" w:rsidRPr="00A041EA">
        <w:rPr>
          <w:rFonts w:ascii="Lato" w:hAnsi="Lato"/>
          <w:sz w:val="22"/>
          <w:szCs w:val="22"/>
        </w:rPr>
        <w:t>earn about and experience the Central Australian region as a unique and fascinating part of the natural</w:t>
      </w:r>
      <w:r w:rsidR="0098411B" w:rsidRPr="00A041EA">
        <w:rPr>
          <w:rFonts w:ascii="Lato" w:hAnsi="Lato"/>
          <w:spacing w:val="-3"/>
          <w:sz w:val="22"/>
          <w:szCs w:val="22"/>
        </w:rPr>
        <w:t xml:space="preserve"> </w:t>
      </w:r>
      <w:r w:rsidR="0098411B" w:rsidRPr="00A041EA">
        <w:rPr>
          <w:rFonts w:ascii="Lato" w:hAnsi="Lato"/>
          <w:sz w:val="22"/>
          <w:szCs w:val="22"/>
        </w:rPr>
        <w:t>world;</w:t>
      </w:r>
    </w:p>
    <w:p w14:paraId="1DCABA5E" w14:textId="1FB0C137" w:rsidR="0098411B" w:rsidRPr="00A041EA" w:rsidRDefault="00A74741" w:rsidP="0098411B">
      <w:pPr>
        <w:pStyle w:val="ListParagraph"/>
        <w:widowControl w:val="0"/>
        <w:numPr>
          <w:ilvl w:val="0"/>
          <w:numId w:val="2"/>
        </w:numPr>
        <w:tabs>
          <w:tab w:val="left" w:pos="1700"/>
          <w:tab w:val="left" w:pos="1701"/>
        </w:tabs>
        <w:autoSpaceDE w:val="0"/>
        <w:autoSpaceDN w:val="0"/>
        <w:ind w:right="263"/>
        <w:contextualSpacing w:val="0"/>
        <w:rPr>
          <w:rFonts w:ascii="Lato" w:hAnsi="Lato"/>
          <w:sz w:val="22"/>
          <w:szCs w:val="22"/>
        </w:rPr>
      </w:pPr>
      <w:r>
        <w:rPr>
          <w:rFonts w:ascii="Lato" w:hAnsi="Lato"/>
          <w:sz w:val="22"/>
          <w:szCs w:val="22"/>
        </w:rPr>
        <w:t>j</w:t>
      </w:r>
      <w:r w:rsidR="0098411B" w:rsidRPr="00A041EA">
        <w:rPr>
          <w:rFonts w:ascii="Lato" w:hAnsi="Lato"/>
          <w:sz w:val="22"/>
          <w:szCs w:val="22"/>
        </w:rPr>
        <w:t>ourney through stories about people and places and the lives and times of the Region, in the wider context of Australian history;</w:t>
      </w:r>
    </w:p>
    <w:p w14:paraId="055C74E1" w14:textId="5AF11400" w:rsidR="0098411B" w:rsidRPr="00A041EA" w:rsidRDefault="00A74741" w:rsidP="0098411B">
      <w:pPr>
        <w:pStyle w:val="ListParagraph"/>
        <w:widowControl w:val="0"/>
        <w:numPr>
          <w:ilvl w:val="0"/>
          <w:numId w:val="2"/>
        </w:numPr>
        <w:tabs>
          <w:tab w:val="left" w:pos="1700"/>
          <w:tab w:val="left" w:pos="1701"/>
        </w:tabs>
        <w:autoSpaceDE w:val="0"/>
        <w:autoSpaceDN w:val="0"/>
        <w:ind w:right="260"/>
        <w:contextualSpacing w:val="0"/>
        <w:rPr>
          <w:rFonts w:ascii="Lato" w:hAnsi="Lato"/>
          <w:sz w:val="22"/>
          <w:szCs w:val="22"/>
        </w:rPr>
      </w:pPr>
      <w:r>
        <w:rPr>
          <w:rFonts w:ascii="Lato" w:hAnsi="Lato"/>
          <w:sz w:val="22"/>
          <w:szCs w:val="22"/>
        </w:rPr>
        <w:t>l</w:t>
      </w:r>
      <w:r w:rsidR="0098411B" w:rsidRPr="00A041EA">
        <w:rPr>
          <w:rFonts w:ascii="Lato" w:hAnsi="Lato"/>
          <w:sz w:val="22"/>
          <w:szCs w:val="22"/>
        </w:rPr>
        <w:t xml:space="preserve">earn about and experience Arrernte culture, including the unique landforms sacred to </w:t>
      </w:r>
      <w:r w:rsidR="0098411B" w:rsidRPr="00A041EA">
        <w:rPr>
          <w:rFonts w:ascii="Lato" w:hAnsi="Lato"/>
          <w:sz w:val="22"/>
          <w:szCs w:val="22"/>
        </w:rPr>
        <w:lastRenderedPageBreak/>
        <w:t>Arrernte</w:t>
      </w:r>
      <w:r w:rsidR="0098411B" w:rsidRPr="00A041EA">
        <w:rPr>
          <w:rFonts w:ascii="Lato" w:hAnsi="Lato"/>
          <w:spacing w:val="-1"/>
          <w:sz w:val="22"/>
          <w:szCs w:val="22"/>
        </w:rPr>
        <w:t xml:space="preserve"> </w:t>
      </w:r>
      <w:r w:rsidR="0098411B" w:rsidRPr="00A041EA">
        <w:rPr>
          <w:rFonts w:ascii="Lato" w:hAnsi="Lato"/>
          <w:sz w:val="22"/>
          <w:szCs w:val="22"/>
        </w:rPr>
        <w:t>people;</w:t>
      </w:r>
    </w:p>
    <w:p w14:paraId="46FC8F37" w14:textId="6D99269A" w:rsidR="0098411B" w:rsidRPr="00A041EA" w:rsidRDefault="00A74741" w:rsidP="0098411B">
      <w:pPr>
        <w:pStyle w:val="ListParagraph"/>
        <w:widowControl w:val="0"/>
        <w:numPr>
          <w:ilvl w:val="0"/>
          <w:numId w:val="2"/>
        </w:numPr>
        <w:tabs>
          <w:tab w:val="left" w:pos="1700"/>
          <w:tab w:val="left" w:pos="1701"/>
        </w:tabs>
        <w:autoSpaceDE w:val="0"/>
        <w:autoSpaceDN w:val="0"/>
        <w:ind w:right="261"/>
        <w:contextualSpacing w:val="0"/>
        <w:rPr>
          <w:rFonts w:ascii="Lato" w:hAnsi="Lato"/>
          <w:sz w:val="22"/>
          <w:szCs w:val="22"/>
        </w:rPr>
      </w:pPr>
      <w:r>
        <w:rPr>
          <w:rFonts w:ascii="Lato" w:hAnsi="Lato"/>
          <w:sz w:val="22"/>
          <w:szCs w:val="22"/>
        </w:rPr>
        <w:t>s</w:t>
      </w:r>
      <w:r w:rsidR="0098411B" w:rsidRPr="00A041EA">
        <w:rPr>
          <w:rFonts w:ascii="Lato" w:hAnsi="Lato"/>
          <w:sz w:val="22"/>
          <w:szCs w:val="22"/>
        </w:rPr>
        <w:t>ee, learn about and experience Aboriginal art and Aboriginal cultural traditions in Central Australia; and</w:t>
      </w:r>
    </w:p>
    <w:p w14:paraId="620F02A7" w14:textId="276AE3A6" w:rsidR="0098411B" w:rsidRPr="00A041EA" w:rsidRDefault="00A74741" w:rsidP="0098411B">
      <w:pPr>
        <w:pStyle w:val="ListParagraph"/>
        <w:widowControl w:val="0"/>
        <w:numPr>
          <w:ilvl w:val="0"/>
          <w:numId w:val="2"/>
        </w:numPr>
        <w:tabs>
          <w:tab w:val="left" w:pos="1700"/>
          <w:tab w:val="left" w:pos="1701"/>
        </w:tabs>
        <w:autoSpaceDE w:val="0"/>
        <w:autoSpaceDN w:val="0"/>
        <w:ind w:right="267"/>
        <w:contextualSpacing w:val="0"/>
        <w:rPr>
          <w:rFonts w:ascii="Lato" w:hAnsi="Lato"/>
          <w:sz w:val="22"/>
          <w:szCs w:val="22"/>
        </w:rPr>
      </w:pPr>
      <w:r>
        <w:rPr>
          <w:rFonts w:ascii="Lato" w:hAnsi="Lato"/>
          <w:sz w:val="22"/>
          <w:szCs w:val="22"/>
        </w:rPr>
        <w:t>s</w:t>
      </w:r>
      <w:r w:rsidR="0098411B" w:rsidRPr="00A041EA">
        <w:rPr>
          <w:rFonts w:ascii="Lato" w:hAnsi="Lato"/>
          <w:sz w:val="22"/>
          <w:szCs w:val="22"/>
        </w:rPr>
        <w:t>hare in the local history of the Precinct within the wider story of Australian aviation history.</w:t>
      </w:r>
    </w:p>
    <w:p w14:paraId="74E59A0E" w14:textId="77777777" w:rsidR="0098411B" w:rsidRPr="00A041EA" w:rsidRDefault="0098411B" w:rsidP="00A041EA">
      <w:pPr>
        <w:pStyle w:val="Heading1"/>
        <w:ind w:left="0"/>
        <w:rPr>
          <w:rFonts w:ascii="Lato" w:hAnsi="Lato"/>
          <w:sz w:val="22"/>
          <w:szCs w:val="22"/>
        </w:rPr>
      </w:pPr>
    </w:p>
    <w:p w14:paraId="2753FFAD" w14:textId="77777777" w:rsidR="0098411B" w:rsidRPr="00A041EA" w:rsidRDefault="0098411B" w:rsidP="0098411B">
      <w:pPr>
        <w:pStyle w:val="Heading1"/>
        <w:rPr>
          <w:rFonts w:ascii="Lato" w:hAnsi="Lato"/>
          <w:sz w:val="22"/>
          <w:szCs w:val="22"/>
        </w:rPr>
      </w:pPr>
      <w:r w:rsidRPr="00A041EA">
        <w:rPr>
          <w:rFonts w:ascii="Lato" w:hAnsi="Lato"/>
          <w:sz w:val="22"/>
          <w:szCs w:val="22"/>
        </w:rPr>
        <w:t xml:space="preserve">Role of the </w:t>
      </w:r>
      <w:r w:rsidR="00736D97" w:rsidRPr="00A041EA">
        <w:rPr>
          <w:rFonts w:ascii="Lato" w:hAnsi="Lato"/>
          <w:sz w:val="22"/>
          <w:szCs w:val="22"/>
        </w:rPr>
        <w:t xml:space="preserve">Araluen </w:t>
      </w:r>
      <w:r w:rsidRPr="00A041EA">
        <w:rPr>
          <w:rFonts w:ascii="Lato" w:hAnsi="Lato"/>
          <w:sz w:val="22"/>
          <w:szCs w:val="22"/>
        </w:rPr>
        <w:t>Community Reference Group</w:t>
      </w:r>
    </w:p>
    <w:p w14:paraId="5C845B99" w14:textId="4AAC1AF7" w:rsidR="0098411B" w:rsidRPr="00A041EA" w:rsidRDefault="0098411B" w:rsidP="0098411B">
      <w:pPr>
        <w:pStyle w:val="BodyText"/>
        <w:spacing w:before="122"/>
        <w:ind w:left="848" w:right="259"/>
        <w:jc w:val="both"/>
        <w:rPr>
          <w:rFonts w:ascii="Lato" w:hAnsi="Lato"/>
          <w:sz w:val="22"/>
          <w:szCs w:val="22"/>
        </w:rPr>
      </w:pPr>
      <w:r w:rsidRPr="00A041EA">
        <w:rPr>
          <w:rFonts w:ascii="Lato" w:hAnsi="Lato"/>
          <w:sz w:val="22"/>
          <w:szCs w:val="22"/>
        </w:rPr>
        <w:t xml:space="preserve">Through the Department </w:t>
      </w:r>
      <w:r w:rsidR="00C17449" w:rsidRPr="00A041EA">
        <w:rPr>
          <w:rFonts w:ascii="Lato" w:hAnsi="Lato"/>
          <w:sz w:val="22"/>
          <w:szCs w:val="22"/>
        </w:rPr>
        <w:t>Territory Families, Housing and Communities</w:t>
      </w:r>
      <w:r w:rsidR="00A74741">
        <w:rPr>
          <w:rFonts w:ascii="Lato" w:hAnsi="Lato"/>
          <w:sz w:val="22"/>
          <w:szCs w:val="22"/>
        </w:rPr>
        <w:t xml:space="preserve"> (</w:t>
      </w:r>
      <w:r w:rsidR="00A74741" w:rsidRPr="00CD1D75">
        <w:rPr>
          <w:rFonts w:ascii="Lato" w:hAnsi="Lato"/>
          <w:b/>
          <w:sz w:val="22"/>
          <w:szCs w:val="22"/>
        </w:rPr>
        <w:t>Department</w:t>
      </w:r>
      <w:r w:rsidR="00A74741">
        <w:rPr>
          <w:rFonts w:ascii="Lato" w:hAnsi="Lato"/>
          <w:sz w:val="22"/>
          <w:szCs w:val="22"/>
        </w:rPr>
        <w:t>)</w:t>
      </w:r>
      <w:r w:rsidR="00C17449" w:rsidRPr="00A041EA">
        <w:rPr>
          <w:rFonts w:ascii="Lato" w:hAnsi="Lato"/>
          <w:sz w:val="22"/>
          <w:szCs w:val="22"/>
        </w:rPr>
        <w:t>,</w:t>
      </w:r>
      <w:r w:rsidRPr="00A041EA">
        <w:rPr>
          <w:rFonts w:ascii="Lato" w:hAnsi="Lato"/>
          <w:sz w:val="22"/>
          <w:szCs w:val="22"/>
        </w:rPr>
        <w:t xml:space="preserve"> the </w:t>
      </w:r>
      <w:r w:rsidR="00736D97" w:rsidRPr="00A041EA">
        <w:rPr>
          <w:rFonts w:ascii="Lato" w:hAnsi="Lato"/>
          <w:sz w:val="22"/>
          <w:szCs w:val="22"/>
        </w:rPr>
        <w:t xml:space="preserve">Araluen </w:t>
      </w:r>
      <w:r w:rsidRPr="00A041EA">
        <w:rPr>
          <w:rFonts w:ascii="Lato" w:hAnsi="Lato"/>
          <w:sz w:val="22"/>
          <w:szCs w:val="22"/>
        </w:rPr>
        <w:t>Community Reference Group</w:t>
      </w:r>
      <w:r w:rsidR="00A74741">
        <w:rPr>
          <w:rFonts w:ascii="Lato" w:hAnsi="Lato"/>
          <w:sz w:val="22"/>
          <w:szCs w:val="22"/>
        </w:rPr>
        <w:t xml:space="preserve"> (</w:t>
      </w:r>
      <w:r w:rsidR="00A74741" w:rsidRPr="00CD1D75">
        <w:rPr>
          <w:rFonts w:ascii="Lato" w:hAnsi="Lato"/>
          <w:b/>
          <w:sz w:val="22"/>
          <w:szCs w:val="22"/>
        </w:rPr>
        <w:t>ACRG</w:t>
      </w:r>
      <w:r w:rsidR="00A74741">
        <w:rPr>
          <w:rFonts w:ascii="Lato" w:hAnsi="Lato"/>
          <w:sz w:val="22"/>
          <w:szCs w:val="22"/>
        </w:rPr>
        <w:t>)</w:t>
      </w:r>
      <w:r w:rsidRPr="00A041EA">
        <w:rPr>
          <w:rFonts w:ascii="Lato" w:hAnsi="Lato"/>
          <w:sz w:val="22"/>
          <w:szCs w:val="22"/>
        </w:rPr>
        <w:t xml:space="preserve"> will provide advice to the Minister for </w:t>
      </w:r>
      <w:r w:rsidR="000A42C7" w:rsidRPr="00A041EA">
        <w:rPr>
          <w:rFonts w:ascii="Lato" w:hAnsi="Lato"/>
          <w:sz w:val="22"/>
          <w:szCs w:val="22"/>
        </w:rPr>
        <w:t>Arts, Culture and Heritage</w:t>
      </w:r>
      <w:r w:rsidRPr="00A041EA">
        <w:rPr>
          <w:rFonts w:ascii="Lato" w:hAnsi="Lato"/>
          <w:sz w:val="22"/>
          <w:szCs w:val="22"/>
        </w:rPr>
        <w:t>, in regards to the ongoing development and strategic operation</w:t>
      </w:r>
      <w:r w:rsidR="00321643">
        <w:rPr>
          <w:rFonts w:ascii="Lato" w:hAnsi="Lato"/>
          <w:sz w:val="22"/>
          <w:szCs w:val="22"/>
        </w:rPr>
        <w:t>s</w:t>
      </w:r>
      <w:r w:rsidRPr="00A041EA">
        <w:rPr>
          <w:rFonts w:ascii="Lato" w:hAnsi="Lato"/>
          <w:sz w:val="22"/>
          <w:szCs w:val="22"/>
        </w:rPr>
        <w:t xml:space="preserve"> of the Precinct by:</w:t>
      </w:r>
    </w:p>
    <w:p w14:paraId="5CBAEEEC" w14:textId="77777777" w:rsidR="0098411B" w:rsidRPr="00A041EA" w:rsidRDefault="0098411B" w:rsidP="0098411B">
      <w:pPr>
        <w:pStyle w:val="BodyText"/>
        <w:spacing w:before="1"/>
        <w:rPr>
          <w:rFonts w:ascii="Lato" w:hAnsi="Lato"/>
          <w:sz w:val="22"/>
          <w:szCs w:val="22"/>
        </w:rPr>
      </w:pPr>
    </w:p>
    <w:p w14:paraId="0A6CB49F" w14:textId="79800449" w:rsidR="0098411B" w:rsidRPr="00A041EA" w:rsidRDefault="00A74741" w:rsidP="0098411B">
      <w:pPr>
        <w:pStyle w:val="ListParagraph"/>
        <w:widowControl w:val="0"/>
        <w:numPr>
          <w:ilvl w:val="0"/>
          <w:numId w:val="2"/>
        </w:numPr>
        <w:tabs>
          <w:tab w:val="left" w:pos="1700"/>
          <w:tab w:val="left" w:pos="1701"/>
        </w:tabs>
        <w:autoSpaceDE w:val="0"/>
        <w:autoSpaceDN w:val="0"/>
        <w:ind w:right="261"/>
        <w:contextualSpacing w:val="0"/>
        <w:rPr>
          <w:rFonts w:ascii="Lato" w:hAnsi="Lato"/>
          <w:sz w:val="22"/>
          <w:szCs w:val="22"/>
        </w:rPr>
      </w:pPr>
      <w:r>
        <w:rPr>
          <w:rFonts w:ascii="Lato" w:hAnsi="Lato"/>
          <w:sz w:val="22"/>
          <w:szCs w:val="22"/>
        </w:rPr>
        <w:t>p</w:t>
      </w:r>
      <w:r w:rsidR="00321643" w:rsidRPr="00A041EA">
        <w:rPr>
          <w:rFonts w:ascii="Lato" w:hAnsi="Lato"/>
          <w:sz w:val="22"/>
          <w:szCs w:val="22"/>
        </w:rPr>
        <w:t>roviding an avenue for community input</w:t>
      </w:r>
      <w:r w:rsidR="00321643">
        <w:rPr>
          <w:rFonts w:ascii="Lato" w:hAnsi="Lato"/>
          <w:sz w:val="22"/>
          <w:szCs w:val="22"/>
        </w:rPr>
        <w:t xml:space="preserve"> to the </w:t>
      </w:r>
      <w:r w:rsidR="00FB377B">
        <w:rPr>
          <w:rFonts w:ascii="Lato" w:hAnsi="Lato"/>
          <w:sz w:val="22"/>
          <w:szCs w:val="22"/>
        </w:rPr>
        <w:t xml:space="preserve">Precinct </w:t>
      </w:r>
      <w:r w:rsidR="00321643">
        <w:rPr>
          <w:rFonts w:ascii="Lato" w:hAnsi="Lato"/>
          <w:sz w:val="22"/>
          <w:szCs w:val="22"/>
        </w:rPr>
        <w:t>Director;</w:t>
      </w:r>
      <w:r w:rsidR="00321643" w:rsidRPr="00A041EA">
        <w:rPr>
          <w:rFonts w:ascii="Lato" w:hAnsi="Lato"/>
          <w:sz w:val="22"/>
          <w:szCs w:val="22"/>
        </w:rPr>
        <w:t xml:space="preserve"> </w:t>
      </w:r>
    </w:p>
    <w:p w14:paraId="0759E5EC" w14:textId="63D54BAE" w:rsidR="000A42C7" w:rsidRPr="00A041EA" w:rsidRDefault="00FB377B" w:rsidP="0098411B">
      <w:pPr>
        <w:pStyle w:val="ListParagraph"/>
        <w:widowControl w:val="0"/>
        <w:numPr>
          <w:ilvl w:val="0"/>
          <w:numId w:val="2"/>
        </w:numPr>
        <w:tabs>
          <w:tab w:val="left" w:pos="1700"/>
          <w:tab w:val="left" w:pos="1701"/>
        </w:tabs>
        <w:autoSpaceDE w:val="0"/>
        <w:autoSpaceDN w:val="0"/>
        <w:ind w:right="261"/>
        <w:contextualSpacing w:val="0"/>
        <w:rPr>
          <w:rFonts w:ascii="Lato" w:hAnsi="Lato"/>
          <w:sz w:val="22"/>
          <w:szCs w:val="22"/>
        </w:rPr>
      </w:pPr>
      <w:r>
        <w:rPr>
          <w:rFonts w:ascii="Lato" w:hAnsi="Lato"/>
          <w:sz w:val="22"/>
          <w:szCs w:val="22"/>
        </w:rPr>
        <w:t>p</w:t>
      </w:r>
      <w:r w:rsidR="000A42C7" w:rsidRPr="00A041EA">
        <w:rPr>
          <w:rFonts w:ascii="Lato" w:hAnsi="Lato"/>
          <w:sz w:val="22"/>
          <w:szCs w:val="22"/>
        </w:rPr>
        <w:t xml:space="preserve">articipating in </w:t>
      </w:r>
      <w:r w:rsidR="00321643">
        <w:rPr>
          <w:rFonts w:ascii="Lato" w:hAnsi="Lato"/>
          <w:sz w:val="22"/>
          <w:szCs w:val="22"/>
        </w:rPr>
        <w:t>strategic planning processes relating</w:t>
      </w:r>
      <w:r w:rsidR="000A42C7" w:rsidRPr="00A041EA">
        <w:rPr>
          <w:rFonts w:ascii="Lato" w:hAnsi="Lato"/>
          <w:sz w:val="22"/>
          <w:szCs w:val="22"/>
        </w:rPr>
        <w:t xml:space="preserve"> to the Precinct;</w:t>
      </w:r>
    </w:p>
    <w:p w14:paraId="1ED63E04" w14:textId="12CCB725" w:rsidR="000A42C7" w:rsidRPr="00A041EA" w:rsidRDefault="00FB377B" w:rsidP="0098411B">
      <w:pPr>
        <w:pStyle w:val="ListParagraph"/>
        <w:widowControl w:val="0"/>
        <w:numPr>
          <w:ilvl w:val="0"/>
          <w:numId w:val="2"/>
        </w:numPr>
        <w:tabs>
          <w:tab w:val="left" w:pos="1700"/>
          <w:tab w:val="left" w:pos="1701"/>
        </w:tabs>
        <w:autoSpaceDE w:val="0"/>
        <w:autoSpaceDN w:val="0"/>
        <w:ind w:right="261"/>
        <w:contextualSpacing w:val="0"/>
        <w:rPr>
          <w:rFonts w:ascii="Lato" w:hAnsi="Lato"/>
          <w:sz w:val="22"/>
          <w:szCs w:val="22"/>
        </w:rPr>
      </w:pPr>
      <w:r>
        <w:rPr>
          <w:rFonts w:ascii="Lato" w:hAnsi="Lato"/>
          <w:sz w:val="22"/>
          <w:szCs w:val="22"/>
        </w:rPr>
        <w:t>p</w:t>
      </w:r>
      <w:r w:rsidR="000A42C7" w:rsidRPr="00A041EA">
        <w:rPr>
          <w:rFonts w:ascii="Lato" w:hAnsi="Lato"/>
          <w:sz w:val="22"/>
          <w:szCs w:val="22"/>
        </w:rPr>
        <w:t xml:space="preserve">rovide feedback to the </w:t>
      </w:r>
      <w:r w:rsidR="0016141C">
        <w:rPr>
          <w:rFonts w:ascii="Lato" w:hAnsi="Lato"/>
          <w:sz w:val="22"/>
          <w:szCs w:val="22"/>
        </w:rPr>
        <w:t>Precinct</w:t>
      </w:r>
      <w:r w:rsidRPr="00A041EA">
        <w:rPr>
          <w:rFonts w:ascii="Lato" w:hAnsi="Lato"/>
          <w:sz w:val="22"/>
          <w:szCs w:val="22"/>
        </w:rPr>
        <w:t xml:space="preserve"> </w:t>
      </w:r>
      <w:r w:rsidR="000A42C7" w:rsidRPr="00A041EA">
        <w:rPr>
          <w:rFonts w:ascii="Lato" w:hAnsi="Lato"/>
          <w:sz w:val="22"/>
          <w:szCs w:val="22"/>
        </w:rPr>
        <w:t>Director with regards to annual business planning;</w:t>
      </w:r>
    </w:p>
    <w:p w14:paraId="1C15EA89" w14:textId="2092DF06" w:rsidR="000A42C7" w:rsidRPr="00A041EA" w:rsidRDefault="000A42C7" w:rsidP="0098411B">
      <w:pPr>
        <w:pStyle w:val="ListParagraph"/>
        <w:widowControl w:val="0"/>
        <w:numPr>
          <w:ilvl w:val="0"/>
          <w:numId w:val="2"/>
        </w:numPr>
        <w:tabs>
          <w:tab w:val="left" w:pos="1700"/>
          <w:tab w:val="left" w:pos="1701"/>
        </w:tabs>
        <w:autoSpaceDE w:val="0"/>
        <w:autoSpaceDN w:val="0"/>
        <w:ind w:right="261"/>
        <w:contextualSpacing w:val="0"/>
        <w:rPr>
          <w:rFonts w:ascii="Lato" w:hAnsi="Lato"/>
          <w:sz w:val="22"/>
          <w:szCs w:val="22"/>
        </w:rPr>
      </w:pPr>
      <w:r w:rsidRPr="00A041EA">
        <w:rPr>
          <w:rFonts w:ascii="Lato" w:hAnsi="Lato"/>
          <w:sz w:val="22"/>
          <w:szCs w:val="22"/>
        </w:rPr>
        <w:t xml:space="preserve">assist in identifying opportunities that will enhance </w:t>
      </w:r>
      <w:r w:rsidR="00FB377B">
        <w:rPr>
          <w:rFonts w:ascii="Lato" w:hAnsi="Lato"/>
          <w:sz w:val="22"/>
          <w:szCs w:val="22"/>
        </w:rPr>
        <w:t xml:space="preserve">Precinct’s </w:t>
      </w:r>
      <w:r w:rsidRPr="00A041EA">
        <w:rPr>
          <w:rFonts w:ascii="Lato" w:hAnsi="Lato"/>
          <w:sz w:val="22"/>
          <w:szCs w:val="22"/>
        </w:rPr>
        <w:t>success.</w:t>
      </w:r>
    </w:p>
    <w:p w14:paraId="0FD33D66" w14:textId="77777777" w:rsidR="00C17449" w:rsidRPr="00A041EA" w:rsidRDefault="00C17449" w:rsidP="00C17449">
      <w:pPr>
        <w:pStyle w:val="Heading1"/>
        <w:spacing w:before="63"/>
        <w:rPr>
          <w:rFonts w:ascii="Lato" w:hAnsi="Lato"/>
          <w:sz w:val="22"/>
          <w:szCs w:val="22"/>
        </w:rPr>
      </w:pPr>
      <w:r w:rsidRPr="00A041EA">
        <w:rPr>
          <w:rFonts w:ascii="Lato" w:hAnsi="Lato"/>
          <w:sz w:val="22"/>
          <w:szCs w:val="22"/>
        </w:rPr>
        <w:t xml:space="preserve"> </w:t>
      </w:r>
    </w:p>
    <w:p w14:paraId="35E72B4D" w14:textId="77777777" w:rsidR="00C17449" w:rsidRPr="00A041EA" w:rsidRDefault="00A041EA" w:rsidP="00C17449">
      <w:pPr>
        <w:pStyle w:val="Heading1"/>
        <w:spacing w:before="63"/>
        <w:rPr>
          <w:rFonts w:ascii="Lato" w:hAnsi="Lato"/>
          <w:sz w:val="22"/>
          <w:szCs w:val="22"/>
        </w:rPr>
      </w:pPr>
      <w:r w:rsidRPr="00A041EA">
        <w:rPr>
          <w:rFonts w:ascii="Lato" w:hAnsi="Lato"/>
          <w:sz w:val="22"/>
          <w:szCs w:val="22"/>
        </w:rPr>
        <w:t xml:space="preserve">Araluen </w:t>
      </w:r>
      <w:r w:rsidR="00C17449" w:rsidRPr="00A041EA">
        <w:rPr>
          <w:rFonts w:ascii="Lato" w:hAnsi="Lato"/>
          <w:sz w:val="22"/>
          <w:szCs w:val="22"/>
        </w:rPr>
        <w:t>Community Reference Group Operation and Structure</w:t>
      </w:r>
    </w:p>
    <w:p w14:paraId="0074FA20" w14:textId="77777777" w:rsidR="00C17449" w:rsidRPr="00A041EA" w:rsidRDefault="00C17449" w:rsidP="00C17449">
      <w:pPr>
        <w:pStyle w:val="BodyText"/>
        <w:spacing w:before="1"/>
        <w:ind w:left="848"/>
        <w:rPr>
          <w:rFonts w:ascii="Lato" w:hAnsi="Lato"/>
          <w:b/>
          <w:bCs/>
          <w:sz w:val="22"/>
          <w:szCs w:val="22"/>
          <w:lang w:val="en-AU" w:eastAsia="en-AU" w:bidi="en-AU"/>
        </w:rPr>
      </w:pPr>
    </w:p>
    <w:p w14:paraId="460F56DF" w14:textId="1AA06C71" w:rsidR="00C17449" w:rsidRPr="00A041EA" w:rsidRDefault="00C17449" w:rsidP="00FB377B">
      <w:pPr>
        <w:pStyle w:val="BodyText"/>
        <w:spacing w:before="1"/>
        <w:ind w:left="848"/>
        <w:rPr>
          <w:rFonts w:ascii="Lato" w:hAnsi="Lato"/>
          <w:sz w:val="22"/>
          <w:szCs w:val="22"/>
        </w:rPr>
      </w:pPr>
      <w:r w:rsidRPr="00A041EA">
        <w:rPr>
          <w:rFonts w:ascii="Lato" w:hAnsi="Lato"/>
          <w:sz w:val="22"/>
          <w:szCs w:val="22"/>
        </w:rPr>
        <w:t xml:space="preserve">The </w:t>
      </w:r>
      <w:r w:rsidR="00FB377B">
        <w:rPr>
          <w:rFonts w:ascii="Lato" w:hAnsi="Lato"/>
          <w:sz w:val="22"/>
          <w:szCs w:val="22"/>
        </w:rPr>
        <w:t>ACRG</w:t>
      </w:r>
      <w:r w:rsidRPr="00A041EA">
        <w:rPr>
          <w:rFonts w:ascii="Lato" w:hAnsi="Lato"/>
          <w:sz w:val="22"/>
          <w:szCs w:val="22"/>
        </w:rPr>
        <w:t xml:space="preserve"> will </w:t>
      </w:r>
      <w:r w:rsidR="004E1DA0">
        <w:rPr>
          <w:rFonts w:ascii="Lato" w:hAnsi="Lato"/>
          <w:sz w:val="22"/>
          <w:szCs w:val="22"/>
        </w:rPr>
        <w:t xml:space="preserve">be chaired by the Director </w:t>
      </w:r>
      <w:r w:rsidR="000A42C7" w:rsidRPr="00A041EA">
        <w:rPr>
          <w:rFonts w:ascii="Lato" w:hAnsi="Lato"/>
          <w:sz w:val="22"/>
          <w:szCs w:val="22"/>
        </w:rPr>
        <w:t xml:space="preserve">of the </w:t>
      </w:r>
      <w:r w:rsidR="00FB377B">
        <w:rPr>
          <w:rFonts w:ascii="Lato" w:hAnsi="Lato"/>
          <w:sz w:val="22"/>
          <w:szCs w:val="22"/>
        </w:rPr>
        <w:t xml:space="preserve">Precinct </w:t>
      </w:r>
      <w:r w:rsidR="004C3351">
        <w:rPr>
          <w:rFonts w:ascii="Lato" w:hAnsi="Lato"/>
          <w:sz w:val="22"/>
          <w:szCs w:val="22"/>
        </w:rPr>
        <w:t>(</w:t>
      </w:r>
      <w:r w:rsidR="004C3351" w:rsidRPr="00CD1D75">
        <w:rPr>
          <w:rFonts w:ascii="Lato" w:hAnsi="Lato"/>
          <w:b/>
          <w:sz w:val="22"/>
          <w:szCs w:val="22"/>
        </w:rPr>
        <w:t>Chair</w:t>
      </w:r>
      <w:r w:rsidR="004C3351">
        <w:rPr>
          <w:rFonts w:ascii="Lato" w:hAnsi="Lato"/>
          <w:sz w:val="22"/>
          <w:szCs w:val="22"/>
        </w:rPr>
        <w:t xml:space="preserve">) </w:t>
      </w:r>
      <w:r w:rsidRPr="00A041EA">
        <w:rPr>
          <w:rFonts w:ascii="Lato" w:hAnsi="Lato"/>
          <w:sz w:val="22"/>
          <w:szCs w:val="22"/>
        </w:rPr>
        <w:t>and meetings will be held three</w:t>
      </w:r>
      <w:r w:rsidR="00FB377B">
        <w:rPr>
          <w:rFonts w:ascii="Lato" w:hAnsi="Lato"/>
          <w:sz w:val="22"/>
          <w:szCs w:val="22"/>
        </w:rPr>
        <w:t xml:space="preserve"> (3)</w:t>
      </w:r>
      <w:r w:rsidRPr="00A041EA">
        <w:rPr>
          <w:rFonts w:ascii="Lato" w:hAnsi="Lato"/>
          <w:sz w:val="22"/>
          <w:szCs w:val="22"/>
        </w:rPr>
        <w:t xml:space="preserve"> </w:t>
      </w:r>
      <w:r w:rsidR="00A041EA" w:rsidRPr="00A041EA">
        <w:rPr>
          <w:rFonts w:ascii="Lato" w:hAnsi="Lato"/>
          <w:sz w:val="22"/>
          <w:szCs w:val="22"/>
        </w:rPr>
        <w:t>t</w:t>
      </w:r>
      <w:r w:rsidR="004E1DA0">
        <w:rPr>
          <w:rFonts w:ascii="Lato" w:hAnsi="Lato"/>
          <w:sz w:val="22"/>
          <w:szCs w:val="22"/>
        </w:rPr>
        <w:t>imes per year</w:t>
      </w:r>
      <w:r w:rsidR="00D95C86">
        <w:rPr>
          <w:rFonts w:ascii="Lato" w:hAnsi="Lato"/>
          <w:sz w:val="22"/>
          <w:szCs w:val="22"/>
        </w:rPr>
        <w:t>, by teleconference or face to face. The ACRG may also make decisions out-of-session electronically.</w:t>
      </w:r>
      <w:r w:rsidRPr="00A041EA" w:rsidDel="0037483D">
        <w:rPr>
          <w:rFonts w:ascii="Lato" w:hAnsi="Lato"/>
          <w:sz w:val="22"/>
          <w:szCs w:val="22"/>
        </w:rPr>
        <w:t xml:space="preserve"> </w:t>
      </w:r>
    </w:p>
    <w:p w14:paraId="55847DA4" w14:textId="254ADA91" w:rsidR="00C17449" w:rsidRPr="00A041EA" w:rsidRDefault="00C17449" w:rsidP="00C17449">
      <w:pPr>
        <w:pStyle w:val="BodyText"/>
        <w:spacing w:before="122"/>
        <w:ind w:left="848" w:right="621"/>
        <w:jc w:val="both"/>
        <w:rPr>
          <w:rFonts w:ascii="Lato" w:hAnsi="Lato"/>
          <w:sz w:val="22"/>
          <w:szCs w:val="22"/>
        </w:rPr>
      </w:pPr>
      <w:r w:rsidRPr="00A041EA">
        <w:rPr>
          <w:rFonts w:ascii="Lato" w:hAnsi="Lato"/>
          <w:sz w:val="22"/>
          <w:szCs w:val="22"/>
        </w:rPr>
        <w:t>The</w:t>
      </w:r>
      <w:r w:rsidR="00A041EA" w:rsidRPr="00A041EA">
        <w:rPr>
          <w:rFonts w:ascii="Lato" w:hAnsi="Lato"/>
          <w:sz w:val="22"/>
          <w:szCs w:val="22"/>
        </w:rPr>
        <w:t xml:space="preserve"> </w:t>
      </w:r>
      <w:r w:rsidR="00FB377B">
        <w:rPr>
          <w:rFonts w:ascii="Lato" w:hAnsi="Lato"/>
          <w:sz w:val="22"/>
          <w:szCs w:val="22"/>
        </w:rPr>
        <w:t>ACRG</w:t>
      </w:r>
      <w:r w:rsidRPr="00A041EA">
        <w:rPr>
          <w:rFonts w:ascii="Lato" w:hAnsi="Lato"/>
          <w:sz w:val="22"/>
          <w:szCs w:val="22"/>
        </w:rPr>
        <w:t xml:space="preserve"> will consist of six</w:t>
      </w:r>
      <w:r w:rsidR="00FB377B">
        <w:rPr>
          <w:rFonts w:ascii="Lato" w:hAnsi="Lato"/>
          <w:sz w:val="22"/>
          <w:szCs w:val="22"/>
        </w:rPr>
        <w:t xml:space="preserve"> (6)</w:t>
      </w:r>
      <w:r w:rsidRPr="00A041EA">
        <w:rPr>
          <w:rFonts w:ascii="Lato" w:hAnsi="Lato"/>
          <w:sz w:val="22"/>
          <w:szCs w:val="22"/>
        </w:rPr>
        <w:t xml:space="preserve"> community representatives with a demonstrated commitment to the ongoing development of the </w:t>
      </w:r>
      <w:r w:rsidR="00E01AA4">
        <w:rPr>
          <w:rFonts w:ascii="Lato" w:hAnsi="Lato"/>
          <w:sz w:val="22"/>
          <w:szCs w:val="22"/>
        </w:rPr>
        <w:t>Precinct</w:t>
      </w:r>
      <w:r w:rsidRPr="00A041EA">
        <w:rPr>
          <w:rFonts w:ascii="Lato" w:hAnsi="Lato"/>
          <w:sz w:val="22"/>
          <w:szCs w:val="22"/>
        </w:rPr>
        <w:t xml:space="preserve">. The Alice Springs Town Council and the Friends of Araluen </w:t>
      </w:r>
      <w:r w:rsidR="00A041EA" w:rsidRPr="00A041EA">
        <w:rPr>
          <w:rFonts w:ascii="Lato" w:hAnsi="Lato"/>
          <w:sz w:val="22"/>
          <w:szCs w:val="22"/>
        </w:rPr>
        <w:t>will nominate one</w:t>
      </w:r>
      <w:r w:rsidRPr="00A041EA">
        <w:rPr>
          <w:rFonts w:ascii="Lato" w:hAnsi="Lato"/>
          <w:sz w:val="22"/>
          <w:szCs w:val="22"/>
        </w:rPr>
        <w:t xml:space="preserve"> </w:t>
      </w:r>
      <w:r w:rsidR="00FB377B">
        <w:rPr>
          <w:rFonts w:ascii="Lato" w:hAnsi="Lato"/>
          <w:sz w:val="22"/>
          <w:szCs w:val="22"/>
        </w:rPr>
        <w:t xml:space="preserve">(1) </w:t>
      </w:r>
      <w:r w:rsidRPr="00A041EA">
        <w:rPr>
          <w:rFonts w:ascii="Lato" w:hAnsi="Lato"/>
          <w:sz w:val="22"/>
          <w:szCs w:val="22"/>
        </w:rPr>
        <w:t>representative</w:t>
      </w:r>
      <w:r w:rsidR="00A041EA" w:rsidRPr="00A041EA">
        <w:rPr>
          <w:rFonts w:ascii="Lato" w:hAnsi="Lato"/>
          <w:sz w:val="22"/>
          <w:szCs w:val="22"/>
        </w:rPr>
        <w:t xml:space="preserve"> each</w:t>
      </w:r>
      <w:r w:rsidR="00FB377B">
        <w:rPr>
          <w:rFonts w:ascii="Lato" w:hAnsi="Lato"/>
          <w:sz w:val="22"/>
          <w:szCs w:val="22"/>
        </w:rPr>
        <w:t xml:space="preserve"> </w:t>
      </w:r>
      <w:r w:rsidR="00A041EA" w:rsidRPr="00CD1D75">
        <w:rPr>
          <w:rFonts w:ascii="Lato" w:hAnsi="Lato"/>
          <w:i/>
          <w:sz w:val="22"/>
          <w:szCs w:val="22"/>
        </w:rPr>
        <w:t>(</w:t>
      </w:r>
      <w:r w:rsidRPr="00CD1D75">
        <w:rPr>
          <w:rFonts w:ascii="Lato" w:hAnsi="Lato"/>
          <w:i/>
          <w:sz w:val="22"/>
          <w:szCs w:val="22"/>
        </w:rPr>
        <w:t>Historically this has been the Alice Springs Mayor and the Chair of the Friends of Araluen</w:t>
      </w:r>
      <w:r w:rsidR="00A041EA" w:rsidRPr="00CD1D75">
        <w:rPr>
          <w:rFonts w:ascii="Lato" w:hAnsi="Lato"/>
          <w:i/>
          <w:sz w:val="22"/>
          <w:szCs w:val="22"/>
        </w:rPr>
        <w:t>)</w:t>
      </w:r>
      <w:r w:rsidR="00FB377B">
        <w:rPr>
          <w:rFonts w:ascii="Lato" w:hAnsi="Lato"/>
          <w:i/>
          <w:sz w:val="22"/>
          <w:szCs w:val="22"/>
        </w:rPr>
        <w:t>.</w:t>
      </w:r>
    </w:p>
    <w:p w14:paraId="56D4EFD1" w14:textId="77777777" w:rsidR="00C17449" w:rsidRPr="00A041EA" w:rsidRDefault="00C17449" w:rsidP="00C17449">
      <w:pPr>
        <w:pStyle w:val="BodyText"/>
        <w:spacing w:before="10"/>
        <w:jc w:val="both"/>
        <w:rPr>
          <w:rFonts w:ascii="Lato" w:hAnsi="Lato"/>
          <w:sz w:val="22"/>
          <w:szCs w:val="22"/>
        </w:rPr>
      </w:pPr>
    </w:p>
    <w:p w14:paraId="42010CB4" w14:textId="72E8DFAF" w:rsidR="00C17449" w:rsidRPr="00A041EA" w:rsidRDefault="00C17449" w:rsidP="00C17449">
      <w:pPr>
        <w:pStyle w:val="BodyText"/>
        <w:spacing w:before="1"/>
        <w:ind w:left="848" w:right="626"/>
        <w:jc w:val="both"/>
        <w:rPr>
          <w:rFonts w:ascii="Lato" w:hAnsi="Lato"/>
          <w:sz w:val="22"/>
          <w:szCs w:val="22"/>
        </w:rPr>
      </w:pPr>
      <w:r w:rsidRPr="00A041EA">
        <w:rPr>
          <w:rFonts w:ascii="Lato" w:hAnsi="Lato"/>
          <w:sz w:val="22"/>
          <w:szCs w:val="22"/>
        </w:rPr>
        <w:t xml:space="preserve">The </w:t>
      </w:r>
      <w:r w:rsidR="00FB377B">
        <w:rPr>
          <w:rFonts w:ascii="Lato" w:hAnsi="Lato"/>
          <w:sz w:val="22"/>
          <w:szCs w:val="22"/>
        </w:rPr>
        <w:t>ACRG</w:t>
      </w:r>
      <w:r w:rsidRPr="00A041EA">
        <w:rPr>
          <w:rFonts w:ascii="Lato" w:hAnsi="Lato"/>
          <w:sz w:val="22"/>
          <w:szCs w:val="22"/>
        </w:rPr>
        <w:t xml:space="preserve"> will</w:t>
      </w:r>
      <w:r w:rsidR="00405E46" w:rsidRPr="00A041EA">
        <w:rPr>
          <w:rFonts w:ascii="Lato" w:hAnsi="Lato"/>
          <w:sz w:val="22"/>
          <w:szCs w:val="22"/>
        </w:rPr>
        <w:t xml:space="preserve"> ideally</w:t>
      </w:r>
      <w:r w:rsidRPr="00A041EA">
        <w:rPr>
          <w:rFonts w:ascii="Lato" w:hAnsi="Lato"/>
          <w:sz w:val="22"/>
          <w:szCs w:val="22"/>
        </w:rPr>
        <w:t xml:space="preserve"> have the ability to access wide community networks across a range of demographics in order to provide balanced and representati</w:t>
      </w:r>
      <w:r w:rsidR="00405E46" w:rsidRPr="00A041EA">
        <w:rPr>
          <w:rFonts w:ascii="Lato" w:hAnsi="Lato"/>
          <w:sz w:val="22"/>
          <w:szCs w:val="22"/>
        </w:rPr>
        <w:t>ve advice. Ideally</w:t>
      </w:r>
      <w:r w:rsidR="00736D97" w:rsidRPr="00A041EA">
        <w:rPr>
          <w:rFonts w:ascii="Lato" w:hAnsi="Lato"/>
          <w:sz w:val="22"/>
          <w:szCs w:val="22"/>
        </w:rPr>
        <w:t>,</w:t>
      </w:r>
      <w:r w:rsidR="00405E46" w:rsidRPr="00A041EA">
        <w:rPr>
          <w:rFonts w:ascii="Lato" w:hAnsi="Lato"/>
          <w:sz w:val="22"/>
          <w:szCs w:val="22"/>
        </w:rPr>
        <w:t xml:space="preserve"> members will have a passion for supporting </w:t>
      </w:r>
      <w:r w:rsidR="00E01AA4">
        <w:rPr>
          <w:rFonts w:ascii="Lato" w:hAnsi="Lato"/>
          <w:sz w:val="22"/>
          <w:szCs w:val="22"/>
        </w:rPr>
        <w:t xml:space="preserve">the </w:t>
      </w:r>
      <w:r w:rsidR="00FB377B">
        <w:rPr>
          <w:rFonts w:ascii="Lato" w:hAnsi="Lato"/>
          <w:sz w:val="22"/>
          <w:szCs w:val="22"/>
        </w:rPr>
        <w:t xml:space="preserve">Precinct </w:t>
      </w:r>
      <w:r w:rsidR="00736D97" w:rsidRPr="00A041EA">
        <w:rPr>
          <w:rFonts w:ascii="Lato" w:hAnsi="Lato"/>
          <w:sz w:val="22"/>
          <w:szCs w:val="22"/>
        </w:rPr>
        <w:t>and have s</w:t>
      </w:r>
      <w:r w:rsidRPr="00A041EA">
        <w:rPr>
          <w:rFonts w:ascii="Lato" w:hAnsi="Lato"/>
          <w:sz w:val="22"/>
          <w:szCs w:val="22"/>
        </w:rPr>
        <w:t>pecific knowledge in one or more of the following areas:</w:t>
      </w:r>
    </w:p>
    <w:p w14:paraId="3D511ED2" w14:textId="77777777" w:rsidR="00C17449" w:rsidRPr="00A041EA" w:rsidRDefault="00C17449" w:rsidP="00C17449">
      <w:pPr>
        <w:pStyle w:val="BodyText"/>
        <w:rPr>
          <w:rFonts w:ascii="Lato" w:hAnsi="Lato"/>
          <w:sz w:val="22"/>
          <w:szCs w:val="22"/>
        </w:rPr>
      </w:pPr>
    </w:p>
    <w:p w14:paraId="6C18386D" w14:textId="6ADA264C" w:rsidR="00C17449" w:rsidRPr="00A041EA" w:rsidRDefault="00FB377B" w:rsidP="00C17449">
      <w:pPr>
        <w:pStyle w:val="ListParagraph"/>
        <w:widowControl w:val="0"/>
        <w:numPr>
          <w:ilvl w:val="1"/>
          <w:numId w:val="2"/>
        </w:numPr>
        <w:tabs>
          <w:tab w:val="left" w:pos="1841"/>
          <w:tab w:val="left" w:pos="1842"/>
        </w:tabs>
        <w:autoSpaceDE w:val="0"/>
        <w:autoSpaceDN w:val="0"/>
        <w:spacing w:line="268" w:lineRule="exact"/>
        <w:contextualSpacing w:val="0"/>
        <w:rPr>
          <w:rFonts w:ascii="Lato" w:hAnsi="Lato"/>
          <w:sz w:val="22"/>
          <w:szCs w:val="22"/>
        </w:rPr>
      </w:pPr>
      <w:r>
        <w:rPr>
          <w:rFonts w:ascii="Lato" w:hAnsi="Lato"/>
          <w:sz w:val="22"/>
          <w:szCs w:val="22"/>
        </w:rPr>
        <w:t>s</w:t>
      </w:r>
      <w:r w:rsidR="00C17449" w:rsidRPr="00A041EA">
        <w:rPr>
          <w:rFonts w:ascii="Lato" w:hAnsi="Lato"/>
          <w:sz w:val="22"/>
          <w:szCs w:val="22"/>
        </w:rPr>
        <w:t>ponsorship and</w:t>
      </w:r>
      <w:r w:rsidR="00C17449" w:rsidRPr="00A041EA">
        <w:rPr>
          <w:rFonts w:ascii="Lato" w:hAnsi="Lato"/>
          <w:spacing w:val="-3"/>
          <w:sz w:val="22"/>
          <w:szCs w:val="22"/>
        </w:rPr>
        <w:t xml:space="preserve"> </w:t>
      </w:r>
      <w:r w:rsidR="00C17449" w:rsidRPr="00A041EA">
        <w:rPr>
          <w:rFonts w:ascii="Lato" w:hAnsi="Lato"/>
          <w:sz w:val="22"/>
          <w:szCs w:val="22"/>
        </w:rPr>
        <w:t>marketing;</w:t>
      </w:r>
    </w:p>
    <w:p w14:paraId="78399B24" w14:textId="4DFC16D6" w:rsidR="00C17449" w:rsidRPr="00A041EA" w:rsidRDefault="00FB377B" w:rsidP="00C17449">
      <w:pPr>
        <w:pStyle w:val="ListParagraph"/>
        <w:widowControl w:val="0"/>
        <w:numPr>
          <w:ilvl w:val="1"/>
          <w:numId w:val="2"/>
        </w:numPr>
        <w:tabs>
          <w:tab w:val="left" w:pos="1841"/>
          <w:tab w:val="left" w:pos="1842"/>
        </w:tabs>
        <w:autoSpaceDE w:val="0"/>
        <w:autoSpaceDN w:val="0"/>
        <w:spacing w:line="268" w:lineRule="exact"/>
        <w:contextualSpacing w:val="0"/>
        <w:rPr>
          <w:rFonts w:ascii="Lato" w:hAnsi="Lato"/>
          <w:sz w:val="22"/>
          <w:szCs w:val="22"/>
        </w:rPr>
      </w:pPr>
      <w:r>
        <w:rPr>
          <w:rFonts w:ascii="Lato" w:hAnsi="Lato"/>
          <w:sz w:val="22"/>
          <w:szCs w:val="22"/>
        </w:rPr>
        <w:t>y</w:t>
      </w:r>
      <w:r w:rsidR="00C17449" w:rsidRPr="00A041EA">
        <w:rPr>
          <w:rFonts w:ascii="Lato" w:hAnsi="Lato"/>
          <w:sz w:val="22"/>
          <w:szCs w:val="22"/>
        </w:rPr>
        <w:t>outh engagement;</w:t>
      </w:r>
    </w:p>
    <w:p w14:paraId="5501A37F" w14:textId="5B04F8DE" w:rsidR="00736D97" w:rsidRPr="00A041EA" w:rsidRDefault="00FB377B" w:rsidP="00C17449">
      <w:pPr>
        <w:pStyle w:val="ListParagraph"/>
        <w:widowControl w:val="0"/>
        <w:numPr>
          <w:ilvl w:val="1"/>
          <w:numId w:val="2"/>
        </w:numPr>
        <w:tabs>
          <w:tab w:val="left" w:pos="1841"/>
          <w:tab w:val="left" w:pos="1842"/>
        </w:tabs>
        <w:autoSpaceDE w:val="0"/>
        <w:autoSpaceDN w:val="0"/>
        <w:spacing w:line="268" w:lineRule="exact"/>
        <w:contextualSpacing w:val="0"/>
        <w:rPr>
          <w:rFonts w:ascii="Lato" w:hAnsi="Lato"/>
          <w:sz w:val="22"/>
          <w:szCs w:val="22"/>
        </w:rPr>
      </w:pPr>
      <w:r>
        <w:rPr>
          <w:rFonts w:ascii="Lato" w:hAnsi="Lato"/>
          <w:sz w:val="22"/>
          <w:szCs w:val="22"/>
        </w:rPr>
        <w:t>c</w:t>
      </w:r>
      <w:r w:rsidR="00736D97" w:rsidRPr="00A041EA">
        <w:rPr>
          <w:rFonts w:ascii="Lato" w:hAnsi="Lato"/>
          <w:sz w:val="22"/>
          <w:szCs w:val="22"/>
        </w:rPr>
        <w:t>ommunity engagement;</w:t>
      </w:r>
    </w:p>
    <w:p w14:paraId="3AEA1CDF" w14:textId="68CC306B" w:rsidR="00C17449" w:rsidRPr="00A041EA" w:rsidRDefault="00FB377B" w:rsidP="00C17449">
      <w:pPr>
        <w:pStyle w:val="ListParagraph"/>
        <w:widowControl w:val="0"/>
        <w:numPr>
          <w:ilvl w:val="1"/>
          <w:numId w:val="2"/>
        </w:numPr>
        <w:tabs>
          <w:tab w:val="left" w:pos="1841"/>
          <w:tab w:val="left" w:pos="1842"/>
        </w:tabs>
        <w:autoSpaceDE w:val="0"/>
        <w:autoSpaceDN w:val="0"/>
        <w:spacing w:line="268" w:lineRule="exact"/>
        <w:contextualSpacing w:val="0"/>
        <w:rPr>
          <w:rFonts w:ascii="Lato" w:hAnsi="Lato"/>
          <w:sz w:val="22"/>
          <w:szCs w:val="22"/>
        </w:rPr>
      </w:pPr>
      <w:r>
        <w:rPr>
          <w:rFonts w:ascii="Lato" w:hAnsi="Lato"/>
          <w:sz w:val="22"/>
          <w:szCs w:val="22"/>
        </w:rPr>
        <w:t>t</w:t>
      </w:r>
      <w:r w:rsidR="00C17449" w:rsidRPr="00A041EA">
        <w:rPr>
          <w:rFonts w:ascii="Lato" w:hAnsi="Lato"/>
          <w:sz w:val="22"/>
          <w:szCs w:val="22"/>
        </w:rPr>
        <w:t>he arts, including the visual and performing</w:t>
      </w:r>
      <w:r w:rsidR="00C17449" w:rsidRPr="00A041EA">
        <w:rPr>
          <w:rFonts w:ascii="Lato" w:hAnsi="Lato"/>
          <w:spacing w:val="-4"/>
          <w:sz w:val="22"/>
          <w:szCs w:val="22"/>
        </w:rPr>
        <w:t xml:space="preserve"> </w:t>
      </w:r>
      <w:r w:rsidR="00C17449" w:rsidRPr="00A041EA">
        <w:rPr>
          <w:rFonts w:ascii="Lato" w:hAnsi="Lato"/>
          <w:sz w:val="22"/>
          <w:szCs w:val="22"/>
        </w:rPr>
        <w:t>arts;</w:t>
      </w:r>
    </w:p>
    <w:p w14:paraId="426279C4" w14:textId="7C6A558E" w:rsidR="00C17449" w:rsidRPr="00A041EA" w:rsidRDefault="00FB377B" w:rsidP="00C17449">
      <w:pPr>
        <w:pStyle w:val="ListParagraph"/>
        <w:widowControl w:val="0"/>
        <w:numPr>
          <w:ilvl w:val="1"/>
          <w:numId w:val="2"/>
        </w:numPr>
        <w:tabs>
          <w:tab w:val="left" w:pos="1841"/>
          <w:tab w:val="left" w:pos="1842"/>
        </w:tabs>
        <w:autoSpaceDE w:val="0"/>
        <w:autoSpaceDN w:val="0"/>
        <w:spacing w:line="268" w:lineRule="exact"/>
        <w:contextualSpacing w:val="0"/>
        <w:rPr>
          <w:rFonts w:ascii="Lato" w:hAnsi="Lato"/>
          <w:sz w:val="22"/>
          <w:szCs w:val="22"/>
        </w:rPr>
      </w:pPr>
      <w:r>
        <w:rPr>
          <w:rFonts w:ascii="Lato" w:hAnsi="Lato"/>
          <w:sz w:val="22"/>
          <w:szCs w:val="22"/>
        </w:rPr>
        <w:t>A</w:t>
      </w:r>
      <w:r w:rsidR="00C17449" w:rsidRPr="00A041EA">
        <w:rPr>
          <w:rFonts w:ascii="Lato" w:hAnsi="Lato"/>
          <w:sz w:val="22"/>
          <w:szCs w:val="22"/>
        </w:rPr>
        <w:t>lice Springs as a tourism</w:t>
      </w:r>
      <w:r w:rsidR="00C17449" w:rsidRPr="00A041EA">
        <w:rPr>
          <w:rFonts w:ascii="Lato" w:hAnsi="Lato"/>
          <w:spacing w:val="-4"/>
          <w:sz w:val="22"/>
          <w:szCs w:val="22"/>
        </w:rPr>
        <w:t xml:space="preserve"> </w:t>
      </w:r>
      <w:r w:rsidR="00C17449" w:rsidRPr="00A041EA">
        <w:rPr>
          <w:rFonts w:ascii="Lato" w:hAnsi="Lato"/>
          <w:sz w:val="22"/>
          <w:szCs w:val="22"/>
        </w:rPr>
        <w:t>destination;</w:t>
      </w:r>
    </w:p>
    <w:p w14:paraId="56E63D7A" w14:textId="77777777" w:rsidR="00C17449" w:rsidRPr="00A041EA" w:rsidRDefault="00C17449" w:rsidP="00C17449">
      <w:pPr>
        <w:pStyle w:val="ListParagraph"/>
        <w:widowControl w:val="0"/>
        <w:numPr>
          <w:ilvl w:val="1"/>
          <w:numId w:val="2"/>
        </w:numPr>
        <w:tabs>
          <w:tab w:val="left" w:pos="1841"/>
          <w:tab w:val="left" w:pos="1842"/>
        </w:tabs>
        <w:autoSpaceDE w:val="0"/>
        <w:autoSpaceDN w:val="0"/>
        <w:spacing w:line="268" w:lineRule="exact"/>
        <w:contextualSpacing w:val="0"/>
        <w:rPr>
          <w:rFonts w:ascii="Lato" w:hAnsi="Lato"/>
          <w:sz w:val="22"/>
          <w:szCs w:val="22"/>
        </w:rPr>
      </w:pPr>
      <w:r w:rsidRPr="00A041EA">
        <w:rPr>
          <w:rFonts w:ascii="Lato" w:hAnsi="Lato"/>
          <w:sz w:val="22"/>
          <w:szCs w:val="22"/>
        </w:rPr>
        <w:t>Aboriginal art, culture, history and</w:t>
      </w:r>
      <w:r w:rsidRPr="00A041EA">
        <w:rPr>
          <w:rFonts w:ascii="Lato" w:hAnsi="Lato"/>
          <w:spacing w:val="-3"/>
          <w:sz w:val="22"/>
          <w:szCs w:val="22"/>
        </w:rPr>
        <w:t xml:space="preserve"> </w:t>
      </w:r>
      <w:r w:rsidRPr="00A041EA">
        <w:rPr>
          <w:rFonts w:ascii="Lato" w:hAnsi="Lato"/>
          <w:sz w:val="22"/>
          <w:szCs w:val="22"/>
        </w:rPr>
        <w:t>traditions;</w:t>
      </w:r>
    </w:p>
    <w:p w14:paraId="59D15307" w14:textId="269D939F" w:rsidR="00C17449" w:rsidRPr="00A041EA" w:rsidRDefault="00FB377B" w:rsidP="00736D97">
      <w:pPr>
        <w:pStyle w:val="ListParagraph"/>
        <w:widowControl w:val="0"/>
        <w:numPr>
          <w:ilvl w:val="1"/>
          <w:numId w:val="2"/>
        </w:numPr>
        <w:tabs>
          <w:tab w:val="left" w:pos="1841"/>
          <w:tab w:val="left" w:pos="1842"/>
        </w:tabs>
        <w:autoSpaceDE w:val="0"/>
        <w:autoSpaceDN w:val="0"/>
        <w:spacing w:line="268" w:lineRule="exact"/>
        <w:contextualSpacing w:val="0"/>
        <w:rPr>
          <w:rFonts w:ascii="Lato" w:hAnsi="Lato"/>
          <w:sz w:val="22"/>
          <w:szCs w:val="22"/>
        </w:rPr>
      </w:pPr>
      <w:r>
        <w:rPr>
          <w:rFonts w:ascii="Lato" w:hAnsi="Lato"/>
          <w:sz w:val="22"/>
          <w:szCs w:val="22"/>
        </w:rPr>
        <w:t>i</w:t>
      </w:r>
      <w:r w:rsidR="00C17449" w:rsidRPr="00A041EA">
        <w:rPr>
          <w:rFonts w:ascii="Lato" w:hAnsi="Lato"/>
          <w:sz w:val="22"/>
          <w:szCs w:val="22"/>
        </w:rPr>
        <w:t>nfrastructure</w:t>
      </w:r>
      <w:r w:rsidR="00C17449" w:rsidRPr="00A041EA">
        <w:rPr>
          <w:rFonts w:ascii="Lato" w:hAnsi="Lato"/>
          <w:spacing w:val="-1"/>
          <w:sz w:val="22"/>
          <w:szCs w:val="22"/>
        </w:rPr>
        <w:t xml:space="preserve"> </w:t>
      </w:r>
      <w:r w:rsidR="00C17449" w:rsidRPr="00A041EA">
        <w:rPr>
          <w:rFonts w:ascii="Lato" w:hAnsi="Lato"/>
          <w:sz w:val="22"/>
          <w:szCs w:val="22"/>
        </w:rPr>
        <w:t>development</w:t>
      </w:r>
      <w:r>
        <w:rPr>
          <w:rFonts w:ascii="Lato" w:hAnsi="Lato"/>
          <w:sz w:val="22"/>
          <w:szCs w:val="22"/>
        </w:rPr>
        <w:t>.</w:t>
      </w:r>
    </w:p>
    <w:p w14:paraId="4E6B07FD" w14:textId="77777777" w:rsidR="00C17449" w:rsidRPr="00A041EA" w:rsidRDefault="00C17449" w:rsidP="00C17449">
      <w:pPr>
        <w:pStyle w:val="BodyText"/>
        <w:spacing w:before="11"/>
        <w:rPr>
          <w:rFonts w:ascii="Lato" w:hAnsi="Lato"/>
          <w:sz w:val="22"/>
          <w:szCs w:val="22"/>
        </w:rPr>
      </w:pPr>
    </w:p>
    <w:p w14:paraId="7B1E4395" w14:textId="4D6A1DF1" w:rsidR="00C17449" w:rsidRPr="00A041EA" w:rsidRDefault="00C17449" w:rsidP="00C17449">
      <w:pPr>
        <w:pStyle w:val="BodyText"/>
        <w:ind w:left="848" w:right="620"/>
        <w:jc w:val="both"/>
        <w:rPr>
          <w:rFonts w:ascii="Lato" w:hAnsi="Lato"/>
          <w:sz w:val="22"/>
          <w:szCs w:val="22"/>
        </w:rPr>
      </w:pPr>
      <w:r w:rsidRPr="00A041EA">
        <w:rPr>
          <w:rFonts w:ascii="Lato" w:hAnsi="Lato"/>
          <w:sz w:val="22"/>
          <w:szCs w:val="22"/>
        </w:rPr>
        <w:t xml:space="preserve">The appointment of the </w:t>
      </w:r>
      <w:r w:rsidR="00FB377B">
        <w:rPr>
          <w:rFonts w:ascii="Lato" w:hAnsi="Lato"/>
          <w:sz w:val="22"/>
          <w:szCs w:val="22"/>
        </w:rPr>
        <w:t>ACRG</w:t>
      </w:r>
      <w:r w:rsidRPr="00A041EA">
        <w:rPr>
          <w:rFonts w:ascii="Lato" w:hAnsi="Lato"/>
          <w:sz w:val="22"/>
          <w:szCs w:val="22"/>
        </w:rPr>
        <w:t xml:space="preserve"> will be the decision of the General Manager</w:t>
      </w:r>
      <w:r w:rsidR="00FB377B">
        <w:rPr>
          <w:rFonts w:ascii="Lato" w:hAnsi="Lato"/>
          <w:sz w:val="22"/>
          <w:szCs w:val="22"/>
        </w:rPr>
        <w:t xml:space="preserve"> of the</w:t>
      </w:r>
      <w:r w:rsidRPr="00A041EA">
        <w:rPr>
          <w:rFonts w:ascii="Lato" w:hAnsi="Lato"/>
          <w:sz w:val="22"/>
          <w:szCs w:val="22"/>
        </w:rPr>
        <w:t xml:space="preserve"> Department.</w:t>
      </w:r>
    </w:p>
    <w:p w14:paraId="5313A0B1" w14:textId="77777777" w:rsidR="00C17449" w:rsidRPr="00A041EA" w:rsidRDefault="00C17449" w:rsidP="00C17449">
      <w:pPr>
        <w:pStyle w:val="BodyText"/>
        <w:spacing w:before="1"/>
        <w:rPr>
          <w:rFonts w:ascii="Lato" w:hAnsi="Lato"/>
          <w:sz w:val="22"/>
          <w:szCs w:val="22"/>
        </w:rPr>
      </w:pPr>
    </w:p>
    <w:p w14:paraId="33087FFE" w14:textId="0382CB6B" w:rsidR="00C17449" w:rsidRDefault="00C17449" w:rsidP="00C17449">
      <w:pPr>
        <w:pStyle w:val="BodyText"/>
        <w:ind w:left="848" w:right="620"/>
        <w:jc w:val="both"/>
        <w:rPr>
          <w:rFonts w:ascii="Lato" w:hAnsi="Lato"/>
          <w:sz w:val="22"/>
          <w:szCs w:val="22"/>
        </w:rPr>
      </w:pPr>
      <w:r w:rsidRPr="00A041EA">
        <w:rPr>
          <w:rFonts w:ascii="Lato" w:hAnsi="Lato"/>
          <w:sz w:val="22"/>
          <w:szCs w:val="22"/>
        </w:rPr>
        <w:t>Appointments to the</w:t>
      </w:r>
      <w:r w:rsidR="00736D97" w:rsidRPr="00A041EA">
        <w:rPr>
          <w:rFonts w:ascii="Lato" w:hAnsi="Lato"/>
          <w:sz w:val="22"/>
          <w:szCs w:val="22"/>
        </w:rPr>
        <w:t xml:space="preserve"> </w:t>
      </w:r>
      <w:r w:rsidR="00FB377B">
        <w:rPr>
          <w:rFonts w:ascii="Lato" w:hAnsi="Lato"/>
          <w:sz w:val="22"/>
          <w:szCs w:val="22"/>
        </w:rPr>
        <w:t>ACRG</w:t>
      </w:r>
      <w:r w:rsidRPr="00A041EA">
        <w:rPr>
          <w:rFonts w:ascii="Lato" w:hAnsi="Lato"/>
          <w:sz w:val="22"/>
          <w:szCs w:val="22"/>
        </w:rPr>
        <w:t xml:space="preserve"> are non-remunerated and are for a term </w:t>
      </w:r>
      <w:r w:rsidR="00E64FFD">
        <w:rPr>
          <w:rFonts w:ascii="Lato" w:hAnsi="Lato"/>
          <w:sz w:val="22"/>
          <w:szCs w:val="22"/>
        </w:rPr>
        <w:t xml:space="preserve">of </w:t>
      </w:r>
      <w:r w:rsidRPr="00A041EA">
        <w:rPr>
          <w:rFonts w:ascii="Lato" w:hAnsi="Lato"/>
          <w:sz w:val="22"/>
          <w:szCs w:val="22"/>
        </w:rPr>
        <w:t>three</w:t>
      </w:r>
      <w:r w:rsidR="00FB377B">
        <w:rPr>
          <w:rFonts w:ascii="Lato" w:hAnsi="Lato"/>
          <w:sz w:val="22"/>
          <w:szCs w:val="22"/>
        </w:rPr>
        <w:t xml:space="preserve"> (3)</w:t>
      </w:r>
      <w:r w:rsidRPr="00A041EA">
        <w:rPr>
          <w:rFonts w:ascii="Lato" w:hAnsi="Lato"/>
          <w:sz w:val="22"/>
          <w:szCs w:val="22"/>
        </w:rPr>
        <w:t xml:space="preserve"> years.</w:t>
      </w:r>
      <w:r w:rsidR="00736D97" w:rsidRPr="00A041EA">
        <w:rPr>
          <w:rFonts w:ascii="Lato" w:hAnsi="Lato"/>
          <w:sz w:val="22"/>
          <w:szCs w:val="22"/>
        </w:rPr>
        <w:t xml:space="preserve"> </w:t>
      </w:r>
      <w:r w:rsidR="00736D97" w:rsidRPr="00A041EA">
        <w:rPr>
          <w:rFonts w:ascii="Lato" w:hAnsi="Lato"/>
          <w:sz w:val="22"/>
          <w:szCs w:val="22"/>
        </w:rPr>
        <w:lastRenderedPageBreak/>
        <w:t xml:space="preserve">Members </w:t>
      </w:r>
      <w:r w:rsidR="00A041EA">
        <w:rPr>
          <w:rFonts w:ascii="Lato" w:hAnsi="Lato"/>
          <w:sz w:val="22"/>
          <w:szCs w:val="22"/>
        </w:rPr>
        <w:t>can be</w:t>
      </w:r>
      <w:r w:rsidR="00736D97" w:rsidRPr="00A041EA">
        <w:rPr>
          <w:rFonts w:ascii="Lato" w:hAnsi="Lato"/>
          <w:sz w:val="22"/>
          <w:szCs w:val="22"/>
        </w:rPr>
        <w:t xml:space="preserve"> reappointed for a second term.</w:t>
      </w:r>
      <w:r w:rsidR="00D305E6">
        <w:rPr>
          <w:rFonts w:ascii="Lato" w:hAnsi="Lato"/>
          <w:sz w:val="22"/>
          <w:szCs w:val="22"/>
        </w:rPr>
        <w:t xml:space="preserve"> </w:t>
      </w:r>
      <w:r w:rsidR="00FC33BD">
        <w:rPr>
          <w:rFonts w:ascii="Lato" w:hAnsi="Lato"/>
          <w:sz w:val="22"/>
          <w:szCs w:val="22"/>
        </w:rPr>
        <w:t>Members</w:t>
      </w:r>
      <w:r w:rsidR="004C3351">
        <w:rPr>
          <w:rFonts w:ascii="Lato" w:hAnsi="Lato"/>
          <w:sz w:val="22"/>
          <w:szCs w:val="22"/>
        </w:rPr>
        <w:t xml:space="preserve"> </w:t>
      </w:r>
      <w:r w:rsidR="00FC33BD">
        <w:rPr>
          <w:rFonts w:ascii="Lato" w:hAnsi="Lato"/>
          <w:sz w:val="22"/>
          <w:szCs w:val="22"/>
        </w:rPr>
        <w:t xml:space="preserve">who are </w:t>
      </w:r>
      <w:r w:rsidR="004C3351">
        <w:rPr>
          <w:rFonts w:ascii="Lato" w:hAnsi="Lato"/>
          <w:sz w:val="22"/>
          <w:szCs w:val="22"/>
        </w:rPr>
        <w:t>absent for two (2) meetings without notice to the Chair, or three (3) meetings with notice to the Chair</w:t>
      </w:r>
      <w:r w:rsidR="00FC33BD">
        <w:rPr>
          <w:rFonts w:ascii="Lato" w:hAnsi="Lato"/>
          <w:sz w:val="22"/>
          <w:szCs w:val="22"/>
        </w:rPr>
        <w:t xml:space="preserve">, will have their </w:t>
      </w:r>
      <w:r w:rsidR="00BC150B">
        <w:rPr>
          <w:rFonts w:ascii="Lato" w:hAnsi="Lato"/>
          <w:sz w:val="22"/>
          <w:szCs w:val="22"/>
        </w:rPr>
        <w:t>appointment</w:t>
      </w:r>
      <w:r w:rsidR="00FC33BD">
        <w:rPr>
          <w:rFonts w:ascii="Lato" w:hAnsi="Lato"/>
          <w:sz w:val="22"/>
          <w:szCs w:val="22"/>
        </w:rPr>
        <w:t xml:space="preserve"> with the ACRG terminated</w:t>
      </w:r>
      <w:r w:rsidR="00BC150B">
        <w:rPr>
          <w:rFonts w:ascii="Lato" w:hAnsi="Lato"/>
          <w:sz w:val="22"/>
          <w:szCs w:val="22"/>
        </w:rPr>
        <w:t>.</w:t>
      </w:r>
    </w:p>
    <w:p w14:paraId="6822F702" w14:textId="77777777" w:rsidR="00C17449" w:rsidRPr="00A041EA" w:rsidRDefault="00C17449" w:rsidP="00C17449">
      <w:pPr>
        <w:pStyle w:val="BodyText"/>
        <w:spacing w:before="10"/>
        <w:rPr>
          <w:rFonts w:ascii="Lato" w:hAnsi="Lato"/>
          <w:sz w:val="22"/>
          <w:szCs w:val="22"/>
        </w:rPr>
      </w:pPr>
    </w:p>
    <w:p w14:paraId="206AE95C" w14:textId="77777777" w:rsidR="00C17449" w:rsidRPr="00A041EA" w:rsidRDefault="00A041EA" w:rsidP="004E1DA0">
      <w:pPr>
        <w:pStyle w:val="Heading1"/>
        <w:ind w:left="0" w:firstLine="720"/>
        <w:rPr>
          <w:rFonts w:ascii="Lato" w:hAnsi="Lato"/>
          <w:sz w:val="22"/>
          <w:szCs w:val="22"/>
        </w:rPr>
      </w:pPr>
      <w:r>
        <w:rPr>
          <w:rFonts w:ascii="Lato" w:hAnsi="Lato"/>
          <w:sz w:val="22"/>
          <w:szCs w:val="22"/>
        </w:rPr>
        <w:t xml:space="preserve">How to become an Araluen </w:t>
      </w:r>
      <w:r w:rsidR="00C17449" w:rsidRPr="00A041EA">
        <w:rPr>
          <w:rFonts w:ascii="Lato" w:hAnsi="Lato"/>
          <w:sz w:val="22"/>
          <w:szCs w:val="22"/>
        </w:rPr>
        <w:t>C</w:t>
      </w:r>
      <w:r w:rsidR="00405E46" w:rsidRPr="00A041EA">
        <w:rPr>
          <w:rFonts w:ascii="Lato" w:hAnsi="Lato"/>
          <w:sz w:val="22"/>
          <w:szCs w:val="22"/>
        </w:rPr>
        <w:t>ommunity Reference Group member</w:t>
      </w:r>
    </w:p>
    <w:p w14:paraId="40873BE6" w14:textId="7E1CE159" w:rsidR="00C17449" w:rsidRDefault="00C17449" w:rsidP="00145A5D">
      <w:pPr>
        <w:pStyle w:val="BodyText"/>
        <w:spacing w:before="122"/>
        <w:ind w:left="720" w:right="628"/>
        <w:jc w:val="both"/>
        <w:rPr>
          <w:rFonts w:ascii="Lato" w:hAnsi="Lato"/>
          <w:sz w:val="22"/>
          <w:szCs w:val="22"/>
        </w:rPr>
      </w:pPr>
      <w:r w:rsidRPr="00A041EA">
        <w:rPr>
          <w:rFonts w:ascii="Lato" w:hAnsi="Lato"/>
          <w:sz w:val="22"/>
          <w:szCs w:val="22"/>
        </w:rPr>
        <w:t xml:space="preserve">A brief </w:t>
      </w:r>
      <w:r w:rsidR="00CD680B">
        <w:rPr>
          <w:rFonts w:ascii="Lato" w:hAnsi="Lato"/>
          <w:sz w:val="22"/>
          <w:szCs w:val="22"/>
        </w:rPr>
        <w:t xml:space="preserve">one-page expression of interest, </w:t>
      </w:r>
      <w:r w:rsidR="00A041EA">
        <w:rPr>
          <w:rFonts w:ascii="Lato" w:hAnsi="Lato"/>
          <w:sz w:val="22"/>
          <w:szCs w:val="22"/>
        </w:rPr>
        <w:t xml:space="preserve">explaining why you are interested in becoming a </w:t>
      </w:r>
      <w:r w:rsidR="00145A5D">
        <w:rPr>
          <w:rFonts w:ascii="Lato" w:hAnsi="Lato"/>
          <w:sz w:val="22"/>
          <w:szCs w:val="22"/>
        </w:rPr>
        <w:t xml:space="preserve">       </w:t>
      </w:r>
      <w:r w:rsidR="00A041EA">
        <w:rPr>
          <w:rFonts w:ascii="Lato" w:hAnsi="Lato"/>
          <w:sz w:val="22"/>
          <w:szCs w:val="22"/>
        </w:rPr>
        <w:t>member</w:t>
      </w:r>
      <w:r w:rsidRPr="00A041EA">
        <w:rPr>
          <w:rFonts w:ascii="Lato" w:hAnsi="Lato"/>
          <w:sz w:val="22"/>
          <w:szCs w:val="22"/>
        </w:rPr>
        <w:t xml:space="preserve">, accompanied by a CV, can be sent </w:t>
      </w:r>
      <w:r w:rsidR="005245EB">
        <w:rPr>
          <w:rFonts w:ascii="Lato" w:hAnsi="Lato"/>
          <w:sz w:val="22"/>
          <w:szCs w:val="22"/>
        </w:rPr>
        <w:t xml:space="preserve">to the Director of the Precinct </w:t>
      </w:r>
      <w:r w:rsidRPr="00A041EA">
        <w:rPr>
          <w:rFonts w:ascii="Lato" w:hAnsi="Lato"/>
          <w:sz w:val="22"/>
          <w:szCs w:val="22"/>
        </w:rPr>
        <w:t>via post:</w:t>
      </w:r>
    </w:p>
    <w:p w14:paraId="1F11B95A" w14:textId="77777777" w:rsidR="00145A5D" w:rsidRDefault="00145A5D" w:rsidP="00145A5D">
      <w:pPr>
        <w:pStyle w:val="BodyText"/>
        <w:spacing w:before="122"/>
        <w:ind w:left="848" w:right="628"/>
        <w:jc w:val="both"/>
        <w:rPr>
          <w:rFonts w:ascii="Lato" w:hAnsi="Lato"/>
          <w:sz w:val="22"/>
          <w:szCs w:val="22"/>
        </w:rPr>
      </w:pPr>
    </w:p>
    <w:p w14:paraId="06008086" w14:textId="77777777" w:rsidR="00145A5D" w:rsidRDefault="00145A5D" w:rsidP="00145A5D">
      <w:pPr>
        <w:pStyle w:val="BodyText"/>
        <w:spacing w:before="122"/>
        <w:ind w:left="848" w:right="628"/>
        <w:jc w:val="both"/>
        <w:rPr>
          <w:rFonts w:ascii="Lato" w:hAnsi="Lato"/>
          <w:sz w:val="22"/>
          <w:szCs w:val="22"/>
        </w:rPr>
      </w:pPr>
      <w:r>
        <w:rPr>
          <w:rFonts w:ascii="Lato" w:hAnsi="Lato"/>
          <w:sz w:val="22"/>
          <w:szCs w:val="22"/>
        </w:rPr>
        <w:t xml:space="preserve">Director </w:t>
      </w:r>
    </w:p>
    <w:p w14:paraId="5C4F4B73" w14:textId="77777777" w:rsidR="00145A5D" w:rsidRDefault="00145A5D" w:rsidP="00145A5D">
      <w:pPr>
        <w:pStyle w:val="BodyText"/>
        <w:spacing w:before="122"/>
        <w:ind w:left="848" w:right="628"/>
        <w:jc w:val="both"/>
        <w:rPr>
          <w:rFonts w:ascii="Lato" w:hAnsi="Lato"/>
          <w:sz w:val="22"/>
          <w:szCs w:val="22"/>
        </w:rPr>
      </w:pPr>
      <w:r>
        <w:rPr>
          <w:rFonts w:ascii="Lato" w:hAnsi="Lato"/>
          <w:sz w:val="22"/>
          <w:szCs w:val="22"/>
        </w:rPr>
        <w:t>Araluen Cultural Precinct</w:t>
      </w:r>
    </w:p>
    <w:p w14:paraId="690E7283" w14:textId="77777777" w:rsidR="00145A5D" w:rsidRDefault="00145A5D" w:rsidP="00145A5D">
      <w:pPr>
        <w:pStyle w:val="BodyText"/>
        <w:spacing w:before="122"/>
        <w:ind w:left="848" w:right="628"/>
        <w:jc w:val="both"/>
        <w:rPr>
          <w:rFonts w:ascii="Lato" w:hAnsi="Lato"/>
          <w:sz w:val="22"/>
          <w:szCs w:val="22"/>
        </w:rPr>
      </w:pPr>
      <w:r>
        <w:rPr>
          <w:rFonts w:ascii="Lato" w:hAnsi="Lato"/>
          <w:sz w:val="22"/>
          <w:szCs w:val="22"/>
        </w:rPr>
        <w:t>PO Box 3521</w:t>
      </w:r>
    </w:p>
    <w:p w14:paraId="6A4BEF78" w14:textId="77777777" w:rsidR="00145A5D" w:rsidRPr="00A041EA" w:rsidRDefault="00145A5D" w:rsidP="00145A5D">
      <w:pPr>
        <w:pStyle w:val="BodyText"/>
        <w:spacing w:before="122"/>
        <w:ind w:left="848" w:right="628"/>
        <w:jc w:val="both"/>
        <w:rPr>
          <w:rFonts w:ascii="Lato" w:hAnsi="Lato"/>
          <w:sz w:val="22"/>
          <w:szCs w:val="22"/>
        </w:rPr>
      </w:pPr>
      <w:r>
        <w:rPr>
          <w:rFonts w:ascii="Lato" w:hAnsi="Lato"/>
          <w:sz w:val="22"/>
          <w:szCs w:val="22"/>
        </w:rPr>
        <w:t>Alice Springs NT 0871</w:t>
      </w:r>
    </w:p>
    <w:p w14:paraId="7E2EAD4D" w14:textId="77777777" w:rsidR="00A041EA" w:rsidRDefault="00A041EA" w:rsidP="00145A5D">
      <w:pPr>
        <w:pStyle w:val="BodyText"/>
        <w:ind w:left="128" w:firstLine="720"/>
        <w:rPr>
          <w:rFonts w:ascii="Lato" w:hAnsi="Lato"/>
          <w:sz w:val="22"/>
          <w:szCs w:val="22"/>
        </w:rPr>
      </w:pPr>
    </w:p>
    <w:p w14:paraId="5FBB5397" w14:textId="77777777" w:rsidR="00E01AA4" w:rsidRDefault="00E01AA4" w:rsidP="00145A5D">
      <w:pPr>
        <w:pStyle w:val="BodyText"/>
        <w:ind w:left="848"/>
        <w:jc w:val="both"/>
        <w:rPr>
          <w:rFonts w:ascii="Lato" w:hAnsi="Lato"/>
          <w:sz w:val="22"/>
          <w:szCs w:val="22"/>
        </w:rPr>
      </w:pPr>
    </w:p>
    <w:p w14:paraId="3082A1FF" w14:textId="34FE0380" w:rsidR="00145A5D" w:rsidRPr="00A041EA" w:rsidRDefault="00145A5D" w:rsidP="00145A5D">
      <w:pPr>
        <w:pStyle w:val="BodyText"/>
        <w:ind w:left="848"/>
        <w:jc w:val="both"/>
        <w:rPr>
          <w:rFonts w:ascii="Lato" w:hAnsi="Lato"/>
          <w:sz w:val="22"/>
          <w:szCs w:val="22"/>
        </w:rPr>
      </w:pPr>
      <w:r w:rsidRPr="00A041EA">
        <w:rPr>
          <w:rFonts w:ascii="Lato" w:hAnsi="Lato"/>
          <w:sz w:val="22"/>
          <w:szCs w:val="22"/>
        </w:rPr>
        <w:t xml:space="preserve">Or via email: </w:t>
      </w:r>
      <w:hyperlink r:id="rId8" w:history="1">
        <w:r w:rsidRPr="00A041EA">
          <w:rPr>
            <w:rStyle w:val="Hyperlink"/>
            <w:rFonts w:ascii="Lato" w:hAnsi="Lato"/>
            <w:sz w:val="22"/>
            <w:szCs w:val="22"/>
          </w:rPr>
          <w:t>felicity.green3@nt.gov.au</w:t>
        </w:r>
      </w:hyperlink>
    </w:p>
    <w:p w14:paraId="1E8D7AD2" w14:textId="77777777" w:rsidR="00145A5D" w:rsidRDefault="00145A5D" w:rsidP="00145A5D">
      <w:pPr>
        <w:pStyle w:val="BodyText"/>
        <w:ind w:left="128" w:firstLine="720"/>
        <w:rPr>
          <w:rFonts w:ascii="Lato" w:hAnsi="Lato"/>
          <w:sz w:val="22"/>
          <w:szCs w:val="22"/>
        </w:rPr>
      </w:pPr>
    </w:p>
    <w:p w14:paraId="34AD9332" w14:textId="77777777" w:rsidR="00E01AA4" w:rsidRDefault="00145A5D" w:rsidP="00145A5D">
      <w:pPr>
        <w:pStyle w:val="BodyText"/>
        <w:ind w:firstLine="720"/>
        <w:jc w:val="both"/>
        <w:rPr>
          <w:rFonts w:ascii="Lato" w:hAnsi="Lato"/>
          <w:sz w:val="22"/>
          <w:szCs w:val="22"/>
        </w:rPr>
      </w:pPr>
      <w:r>
        <w:rPr>
          <w:rFonts w:ascii="Lato" w:hAnsi="Lato"/>
          <w:sz w:val="22"/>
          <w:szCs w:val="22"/>
        </w:rPr>
        <w:t xml:space="preserve"> </w:t>
      </w:r>
    </w:p>
    <w:p w14:paraId="01F4B4E4" w14:textId="0FD91C32" w:rsidR="00C17449" w:rsidRPr="00A041EA" w:rsidRDefault="00145A5D" w:rsidP="00145A5D">
      <w:pPr>
        <w:pStyle w:val="BodyText"/>
        <w:ind w:firstLine="720"/>
        <w:jc w:val="both"/>
        <w:rPr>
          <w:rFonts w:ascii="Lato" w:hAnsi="Lato"/>
          <w:sz w:val="22"/>
          <w:szCs w:val="22"/>
        </w:rPr>
      </w:pPr>
      <w:r>
        <w:rPr>
          <w:rFonts w:ascii="Lato" w:hAnsi="Lato"/>
          <w:sz w:val="22"/>
          <w:szCs w:val="22"/>
        </w:rPr>
        <w:t xml:space="preserve"> </w:t>
      </w:r>
      <w:r w:rsidR="00C17449" w:rsidRPr="00A041EA">
        <w:rPr>
          <w:rFonts w:ascii="Lato" w:hAnsi="Lato"/>
          <w:sz w:val="22"/>
          <w:szCs w:val="22"/>
        </w:rPr>
        <w:t xml:space="preserve">For further information telephone the Precinct on </w:t>
      </w:r>
      <w:r w:rsidR="00F3339A">
        <w:rPr>
          <w:rFonts w:ascii="Lato" w:hAnsi="Lato"/>
          <w:sz w:val="22"/>
          <w:szCs w:val="22"/>
        </w:rPr>
        <w:t xml:space="preserve">(08) </w:t>
      </w:r>
      <w:r w:rsidR="00C17449" w:rsidRPr="00A041EA">
        <w:rPr>
          <w:rFonts w:ascii="Lato" w:hAnsi="Lato"/>
          <w:sz w:val="22"/>
          <w:szCs w:val="22"/>
        </w:rPr>
        <w:t>8951 1120.</w:t>
      </w:r>
    </w:p>
    <w:p w14:paraId="23CC4C7F" w14:textId="77777777" w:rsidR="005208F4" w:rsidRPr="00A041EA" w:rsidRDefault="005208F4" w:rsidP="0098411B">
      <w:pPr>
        <w:rPr>
          <w:rFonts w:ascii="Lato" w:hAnsi="Lato"/>
          <w:sz w:val="22"/>
          <w:szCs w:val="22"/>
        </w:rPr>
      </w:pPr>
    </w:p>
    <w:sectPr w:rsidR="005208F4" w:rsidRPr="00A041EA" w:rsidSect="0033607F">
      <w:headerReference w:type="even" r:id="rId9"/>
      <w:headerReference w:type="default" r:id="rId10"/>
      <w:footerReference w:type="even" r:id="rId11"/>
      <w:footerReference w:type="default" r:id="rId12"/>
      <w:headerReference w:type="first" r:id="rId13"/>
      <w:footerReference w:type="first" r:id="rId14"/>
      <w:pgSz w:w="11906" w:h="16838" w:code="9"/>
      <w:pgMar w:top="332"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4E29D" w14:textId="77777777" w:rsidR="00222EAB" w:rsidRDefault="00222EAB">
      <w:r>
        <w:separator/>
      </w:r>
    </w:p>
  </w:endnote>
  <w:endnote w:type="continuationSeparator" w:id="0">
    <w:p w14:paraId="5327E5C9" w14:textId="77777777" w:rsidR="00222EAB" w:rsidRDefault="0022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07AD" w14:textId="77777777" w:rsidR="005245EB" w:rsidRDefault="00524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2651" w14:textId="77777777" w:rsidR="00A332F6" w:rsidRPr="00622090" w:rsidRDefault="00DF7392" w:rsidP="00A332F6"/>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A332F6" w:rsidRPr="00622090" w14:paraId="2C9B891B" w14:textId="77777777" w:rsidTr="008921B4">
      <w:trPr>
        <w:cantSplit/>
        <w:trHeight w:hRule="exact" w:val="567"/>
      </w:trPr>
      <w:tc>
        <w:tcPr>
          <w:tcW w:w="7767" w:type="dxa"/>
          <w:tcBorders>
            <w:top w:val="single" w:sz="4" w:space="0" w:color="auto"/>
          </w:tcBorders>
          <w:vAlign w:val="bottom"/>
        </w:tcPr>
        <w:p w14:paraId="5683A3A0" w14:textId="14923688" w:rsidR="00A332F6" w:rsidRPr="004E736B" w:rsidRDefault="00CD680B" w:rsidP="00A332F6">
          <w:pPr>
            <w:rPr>
              <w:b/>
              <w:sz w:val="19"/>
            </w:rPr>
          </w:pPr>
          <w:r w:rsidRPr="00622090">
            <w:rPr>
              <w:sz w:val="19"/>
            </w:rPr>
            <w:t xml:space="preserve">Page </w:t>
          </w:r>
          <w:r w:rsidRPr="00622090">
            <w:rPr>
              <w:sz w:val="19"/>
            </w:rPr>
            <w:fldChar w:fldCharType="begin"/>
          </w:r>
          <w:r w:rsidRPr="00622090">
            <w:rPr>
              <w:sz w:val="19"/>
            </w:rPr>
            <w:instrText xml:space="preserve"> PAGE  \* Arabic  \* MERGEFORMAT </w:instrText>
          </w:r>
          <w:r w:rsidRPr="00622090">
            <w:rPr>
              <w:sz w:val="19"/>
            </w:rPr>
            <w:fldChar w:fldCharType="separate"/>
          </w:r>
          <w:r w:rsidR="00DF7392">
            <w:rPr>
              <w:noProof/>
              <w:sz w:val="19"/>
            </w:rPr>
            <w:t>2</w:t>
          </w:r>
          <w:r w:rsidRPr="00622090">
            <w:rPr>
              <w:sz w:val="19"/>
            </w:rPr>
            <w:fldChar w:fldCharType="end"/>
          </w:r>
          <w:r w:rsidRPr="00622090">
            <w:rPr>
              <w:sz w:val="19"/>
            </w:rPr>
            <w:t xml:space="preserve"> of </w:t>
          </w:r>
          <w:r w:rsidRPr="00622090">
            <w:rPr>
              <w:sz w:val="19"/>
            </w:rPr>
            <w:fldChar w:fldCharType="begin"/>
          </w:r>
          <w:r w:rsidRPr="00622090">
            <w:rPr>
              <w:sz w:val="19"/>
            </w:rPr>
            <w:instrText xml:space="preserve"> NUMPAGES  \* Arabic  \* MERGEFORMAT </w:instrText>
          </w:r>
          <w:r w:rsidRPr="00622090">
            <w:rPr>
              <w:sz w:val="19"/>
            </w:rPr>
            <w:fldChar w:fldCharType="separate"/>
          </w:r>
          <w:r w:rsidR="00DF7392">
            <w:rPr>
              <w:noProof/>
              <w:sz w:val="19"/>
            </w:rPr>
            <w:t>3</w:t>
          </w:r>
          <w:r w:rsidRPr="00622090">
            <w:rPr>
              <w:sz w:val="19"/>
            </w:rPr>
            <w:fldChar w:fldCharType="end"/>
          </w:r>
        </w:p>
      </w:tc>
      <w:tc>
        <w:tcPr>
          <w:tcW w:w="2551" w:type="dxa"/>
          <w:tcBorders>
            <w:top w:val="single" w:sz="4" w:space="0" w:color="auto"/>
          </w:tcBorders>
          <w:vAlign w:val="bottom"/>
        </w:tcPr>
        <w:p w14:paraId="132925CB" w14:textId="77777777" w:rsidR="00A332F6" w:rsidRPr="00622090" w:rsidRDefault="00CD680B" w:rsidP="00A332F6">
          <w:pPr>
            <w:jc w:val="right"/>
          </w:pPr>
          <w:r>
            <w:rPr>
              <w:rStyle w:val="PageNumber"/>
              <w:b/>
            </w:rPr>
            <w:t>dtsc.</w:t>
          </w:r>
          <w:r w:rsidRPr="00B368A4">
            <w:rPr>
              <w:rStyle w:val="PageNumber"/>
              <w:b/>
            </w:rPr>
            <w:t>nt.gov.au</w:t>
          </w:r>
        </w:p>
      </w:tc>
    </w:tr>
  </w:tbl>
  <w:p w14:paraId="65E798AA" w14:textId="77777777" w:rsidR="00A332F6" w:rsidRPr="0033607F" w:rsidRDefault="00DF7392" w:rsidP="00A332F6">
    <w:pPr>
      <w:pStyle w:val="Hidden"/>
      <w:rPr>
        <w:rStyle w:val="PageNumber"/>
      </w:rPr>
    </w:pPr>
  </w:p>
  <w:p w14:paraId="00D89305" w14:textId="77777777" w:rsidR="00A332F6" w:rsidRPr="00A332F6" w:rsidRDefault="00DF7392" w:rsidP="00A332F6">
    <w:pPr>
      <w:pStyle w:val="Hidden"/>
      <w:rPr>
        <w:rStyle w:val="PageNumber"/>
      </w:rPr>
    </w:pPr>
  </w:p>
  <w:p w14:paraId="0F8CD174" w14:textId="77777777" w:rsidR="00A00844" w:rsidRDefault="00A00844"/>
  <w:p w14:paraId="284C102E" w14:textId="77777777" w:rsidR="00A00844" w:rsidRDefault="00A008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2FAB" w14:textId="77777777" w:rsidR="00622090" w:rsidRPr="00622090" w:rsidRDefault="00DF7392" w:rsidP="00A332F6"/>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622090" w:rsidRPr="00622090" w14:paraId="24776D4A" w14:textId="77777777" w:rsidTr="00FB35DB">
      <w:trPr>
        <w:cantSplit/>
        <w:trHeight w:hRule="exact" w:val="567"/>
      </w:trPr>
      <w:tc>
        <w:tcPr>
          <w:tcW w:w="7767" w:type="dxa"/>
          <w:tcBorders>
            <w:top w:val="single" w:sz="4" w:space="0" w:color="auto"/>
          </w:tcBorders>
          <w:vAlign w:val="bottom"/>
        </w:tcPr>
        <w:p w14:paraId="33E8B51F" w14:textId="76701AB0" w:rsidR="00622090" w:rsidRPr="004E736B" w:rsidRDefault="00CD680B" w:rsidP="00622090">
          <w:pPr>
            <w:rPr>
              <w:b/>
              <w:sz w:val="19"/>
            </w:rPr>
          </w:pPr>
          <w:r w:rsidRPr="00622090">
            <w:rPr>
              <w:sz w:val="19"/>
            </w:rPr>
            <w:t xml:space="preserve">Page </w:t>
          </w:r>
          <w:r w:rsidRPr="00622090">
            <w:rPr>
              <w:sz w:val="19"/>
            </w:rPr>
            <w:fldChar w:fldCharType="begin"/>
          </w:r>
          <w:r w:rsidRPr="00622090">
            <w:rPr>
              <w:sz w:val="19"/>
            </w:rPr>
            <w:instrText xml:space="preserve"> PAGE  \* Arabic  \* MERGEFORMAT </w:instrText>
          </w:r>
          <w:r w:rsidRPr="00622090">
            <w:rPr>
              <w:sz w:val="19"/>
            </w:rPr>
            <w:fldChar w:fldCharType="separate"/>
          </w:r>
          <w:r w:rsidR="00DF7392">
            <w:rPr>
              <w:noProof/>
              <w:sz w:val="19"/>
            </w:rPr>
            <w:t>1</w:t>
          </w:r>
          <w:r w:rsidRPr="00622090">
            <w:rPr>
              <w:sz w:val="19"/>
            </w:rPr>
            <w:fldChar w:fldCharType="end"/>
          </w:r>
          <w:r w:rsidRPr="00622090">
            <w:rPr>
              <w:sz w:val="19"/>
            </w:rPr>
            <w:t xml:space="preserve"> of </w:t>
          </w:r>
          <w:r w:rsidRPr="00622090">
            <w:rPr>
              <w:sz w:val="19"/>
            </w:rPr>
            <w:fldChar w:fldCharType="begin"/>
          </w:r>
          <w:r w:rsidRPr="00622090">
            <w:rPr>
              <w:sz w:val="19"/>
            </w:rPr>
            <w:instrText xml:space="preserve"> NUMPAGES  \* Arabic  \* MERGEFORMAT </w:instrText>
          </w:r>
          <w:r w:rsidRPr="00622090">
            <w:rPr>
              <w:sz w:val="19"/>
            </w:rPr>
            <w:fldChar w:fldCharType="separate"/>
          </w:r>
          <w:r w:rsidR="00DF7392">
            <w:rPr>
              <w:noProof/>
              <w:sz w:val="19"/>
            </w:rPr>
            <w:t>3</w:t>
          </w:r>
          <w:r w:rsidRPr="00622090">
            <w:rPr>
              <w:sz w:val="19"/>
            </w:rPr>
            <w:fldChar w:fldCharType="end"/>
          </w:r>
        </w:p>
      </w:tc>
      <w:tc>
        <w:tcPr>
          <w:tcW w:w="2551" w:type="dxa"/>
          <w:tcBorders>
            <w:top w:val="single" w:sz="4" w:space="0" w:color="auto"/>
          </w:tcBorders>
          <w:vAlign w:val="bottom"/>
        </w:tcPr>
        <w:p w14:paraId="017945CD" w14:textId="77777777" w:rsidR="00622090" w:rsidRPr="00622090" w:rsidRDefault="00CD680B" w:rsidP="00622090">
          <w:pPr>
            <w:jc w:val="right"/>
          </w:pPr>
          <w:r>
            <w:rPr>
              <w:rStyle w:val="PageNumber"/>
              <w:b/>
            </w:rPr>
            <w:t>dtsc.</w:t>
          </w:r>
          <w:r w:rsidRPr="00B368A4">
            <w:rPr>
              <w:rStyle w:val="PageNumber"/>
              <w:b/>
            </w:rPr>
            <w:t>nt.gov.au</w:t>
          </w:r>
        </w:p>
      </w:tc>
    </w:tr>
  </w:tbl>
  <w:p w14:paraId="14A882FC" w14:textId="77777777" w:rsidR="00622090" w:rsidRPr="0033607F" w:rsidRDefault="00DF7392" w:rsidP="0033607F">
    <w:pPr>
      <w:pStyle w:val="Hidden"/>
      <w:rPr>
        <w:rStyle w:val="PageNumber"/>
      </w:rPr>
    </w:pPr>
  </w:p>
  <w:p w14:paraId="1FB5A706" w14:textId="77777777" w:rsidR="00A00844" w:rsidRDefault="00A00844"/>
  <w:p w14:paraId="16D5461F" w14:textId="77777777" w:rsidR="00A00844" w:rsidRDefault="00A008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5328" w14:textId="77777777" w:rsidR="00222EAB" w:rsidRDefault="00222EAB">
      <w:r>
        <w:separator/>
      </w:r>
    </w:p>
  </w:footnote>
  <w:footnote w:type="continuationSeparator" w:id="0">
    <w:p w14:paraId="025BF8A2" w14:textId="77777777" w:rsidR="00222EAB" w:rsidRDefault="0022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8D83" w14:textId="77777777" w:rsidR="005245EB" w:rsidRDefault="00524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969F" w14:textId="35ED96B2" w:rsidR="00983000" w:rsidRPr="00162207" w:rsidRDefault="00DF7392" w:rsidP="00AA6683">
    <w:pPr>
      <w:pStyle w:val="Header"/>
      <w:tabs>
        <w:tab w:val="clear" w:pos="9638"/>
        <w:tab w:val="right" w:pos="10318"/>
      </w:tabs>
      <w:jc w:val="right"/>
    </w:pPr>
    <w:sdt>
      <w:sdtPr>
        <w:alias w:val="Title"/>
        <w:tag w:val="Title"/>
        <w:id w:val="705679809"/>
        <w:showingPlcHdr/>
        <w:dataBinding w:prefixMappings="xmlns:ns0='http://purl.org/dc/elements/1.1/' xmlns:ns1='http://schemas.openxmlformats.org/package/2006/metadata/core-properties' " w:xpath="/ns1:coreProperties[1]/ns0:title[1]" w:storeItemID="{6C3C8BC8-F283-45AE-878A-BAB7291924A1}"/>
        <w:text/>
      </w:sdtPr>
      <w:sdtEndPr/>
      <w:sdtContent>
        <w:r w:rsidR="00CD680B">
          <w:t xml:space="preserve">     </w:t>
        </w:r>
      </w:sdtContent>
    </w:sdt>
  </w:p>
  <w:p w14:paraId="12702084" w14:textId="77777777" w:rsidR="00A00844" w:rsidRDefault="00A00844"/>
  <w:p w14:paraId="729C17C1" w14:textId="77777777" w:rsidR="00A00844" w:rsidRDefault="00A0084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2721"/>
      <w:gridCol w:w="3091"/>
      <w:gridCol w:w="4479"/>
    </w:tblGrid>
    <w:tr w:rsidR="00A75ACB" w:rsidRPr="003005B4" w14:paraId="0836DBD8" w14:textId="77777777" w:rsidTr="00D47397">
      <w:trPr>
        <w:cantSplit/>
        <w:trHeight w:val="2694"/>
        <w:tblHeader/>
      </w:trPr>
      <w:tc>
        <w:tcPr>
          <w:tcW w:w="2721" w:type="dxa"/>
          <w:tcMar>
            <w:left w:w="0" w:type="dxa"/>
            <w:right w:w="0" w:type="dxa"/>
          </w:tcMar>
        </w:tcPr>
        <w:p w14:paraId="1AD55B4A" w14:textId="77777777" w:rsidR="00A75ACB" w:rsidRPr="003005B4" w:rsidRDefault="00CD680B" w:rsidP="00622090">
          <w:pPr>
            <w:tabs>
              <w:tab w:val="center" w:pos="4320"/>
              <w:tab w:val="right" w:pos="8640"/>
            </w:tabs>
            <w:spacing w:before="60" w:after="240"/>
          </w:pPr>
          <w:r>
            <w:rPr>
              <w:rFonts w:cs="Lato Black"/>
              <w:b/>
              <w:caps/>
              <w:noProof/>
              <w:color w:val="231F20"/>
              <w:u w:color="000000"/>
              <w:lang w:val="en-AU" w:eastAsia="en-AU"/>
            </w:rPr>
            <mc:AlternateContent>
              <mc:Choice Requires="wps">
                <w:drawing>
                  <wp:anchor distT="0" distB="0" distL="114300" distR="114300" simplePos="0" relativeHeight="251657728" behindDoc="0" locked="0" layoutInCell="1" allowOverlap="1" wp14:anchorId="3D515B8D" wp14:editId="7531FD3F">
                    <wp:simplePos x="0" y="0"/>
                    <wp:positionH relativeFrom="column">
                      <wp:posOffset>1720596</wp:posOffset>
                    </wp:positionH>
                    <wp:positionV relativeFrom="paragraph">
                      <wp:posOffset>38100</wp:posOffset>
                    </wp:positionV>
                    <wp:extent cx="0" cy="561600"/>
                    <wp:effectExtent l="0" t="0" r="19050" b="29210"/>
                    <wp:wrapNone/>
                    <wp:docPr id="4" name="Straight Connector 4"/>
                    <wp:cNvGraphicFramePr/>
                    <a:graphic xmlns:a="http://schemas.openxmlformats.org/drawingml/2006/main">
                      <a:graphicData uri="http://schemas.microsoft.com/office/word/2010/wordprocessingShape">
                        <wps:wsp>
                          <wps:cNvCnPr/>
                          <wps:spPr>
                            <a:xfrm>
                              <a:off x="0" y="0"/>
                              <a:ext cx="0" cy="561600"/>
                            </a:xfrm>
                            <a:prstGeom prst="line">
                              <a:avLst/>
                            </a:prstGeom>
                            <a:ln w="9906">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5C5A35"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5pt,3pt" to="135.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" strokeweight=".78pt">
                    <v:stroke joinstyle="miter"/>
                  </v:line>
                </w:pict>
              </mc:Fallback>
            </mc:AlternateContent>
          </w:r>
          <w:r>
            <w:rPr>
              <w:noProof/>
              <w:lang w:val="en-AU" w:eastAsia="en-AU"/>
            </w:rPr>
            <w:drawing>
              <wp:inline distT="0" distB="0" distL="0" distR="0" wp14:anchorId="19CD4F9A" wp14:editId="74738834">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p>
      </w:tc>
      <w:tc>
        <w:tcPr>
          <w:tcW w:w="3091" w:type="dxa"/>
          <w:noWrap/>
          <w:tcMar>
            <w:left w:w="227" w:type="dxa"/>
            <w:right w:w="0" w:type="dxa"/>
          </w:tcMar>
        </w:tcPr>
        <w:p w14:paraId="061BEB9C" w14:textId="77777777" w:rsidR="00A75ACB" w:rsidRPr="002812CA" w:rsidRDefault="00CD680B" w:rsidP="006C4840">
          <w:pPr>
            <w:rPr>
              <w:rFonts w:cs="Lato Regular"/>
              <w:caps/>
              <w:color w:val="231F20"/>
              <w:u w:color="000000"/>
              <w:lang w:val="en-US" w:eastAsia="ja-JP"/>
            </w:rPr>
          </w:pPr>
          <w:r>
            <w:rPr>
              <w:rFonts w:cs="Lato Regular"/>
              <w:caps/>
              <w:noProof/>
              <w:color w:val="231F20"/>
              <w:u w:color="000000"/>
              <w:lang w:val="en-AU" w:eastAsia="en-AU"/>
            </w:rPr>
            <w:drawing>
              <wp:inline distT="0" distB="0" distL="0" distR="0" wp14:anchorId="0F3D3B1D" wp14:editId="3B1183B4">
                <wp:extent cx="1818640" cy="452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luen Cultural Precinct mon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640" cy="452120"/>
                        </a:xfrm>
                        <a:prstGeom prst="rect">
                          <a:avLst/>
                        </a:prstGeom>
                      </pic:spPr>
                    </pic:pic>
                  </a:graphicData>
                </a:graphic>
              </wp:inline>
            </w:drawing>
          </w:r>
        </w:p>
        <w:p w14:paraId="782A609A" w14:textId="77777777" w:rsidR="00A75ACB" w:rsidRPr="002812CA" w:rsidRDefault="00DF7392" w:rsidP="006C4840">
          <w:pPr>
            <w:tabs>
              <w:tab w:val="center" w:pos="4320"/>
              <w:tab w:val="right" w:pos="8640"/>
            </w:tabs>
            <w:contextualSpacing/>
            <w:rPr>
              <w:rFonts w:asciiTheme="majorHAnsi" w:hAnsiTheme="majorHAnsi"/>
            </w:rPr>
          </w:pPr>
        </w:p>
      </w:tc>
      <w:tc>
        <w:tcPr>
          <w:tcW w:w="4479" w:type="dxa"/>
          <w:tcMar>
            <w:left w:w="0" w:type="dxa"/>
            <w:right w:w="0" w:type="dxa"/>
          </w:tcMar>
          <w:vAlign w:val="bottom"/>
        </w:tcPr>
        <w:p w14:paraId="0CC8DA7D" w14:textId="77777777" w:rsidR="00DB3E44" w:rsidRDefault="00CD680B" w:rsidP="00DB3E44">
          <w:pPr>
            <w:jc w:val="right"/>
            <w:rPr>
              <w:spacing w:val="-3"/>
              <w:sz w:val="19"/>
              <w:szCs w:val="19"/>
            </w:rPr>
          </w:pPr>
          <w:r>
            <w:rPr>
              <w:spacing w:val="-3"/>
              <w:sz w:val="19"/>
              <w:szCs w:val="19"/>
            </w:rPr>
            <w:t>Araluen Arts Centre</w:t>
          </w:r>
        </w:p>
        <w:p w14:paraId="1072A3E3" w14:textId="77777777" w:rsidR="00DB3E44" w:rsidRDefault="00CD680B" w:rsidP="00DB3E44">
          <w:pPr>
            <w:spacing w:after="120"/>
            <w:jc w:val="right"/>
            <w:rPr>
              <w:sz w:val="19"/>
              <w:szCs w:val="19"/>
            </w:rPr>
          </w:pPr>
          <w:r>
            <w:rPr>
              <w:spacing w:val="-3"/>
              <w:sz w:val="19"/>
              <w:szCs w:val="19"/>
            </w:rPr>
            <w:t>c</w:t>
          </w:r>
          <w:r w:rsidRPr="006C4840">
            <w:rPr>
              <w:spacing w:val="-3"/>
              <w:sz w:val="19"/>
              <w:szCs w:val="19"/>
            </w:rPr>
            <w:t>nr Larapinta Drive and</w:t>
          </w:r>
          <w:r>
            <w:rPr>
              <w:spacing w:val="-3"/>
              <w:sz w:val="19"/>
              <w:szCs w:val="19"/>
            </w:rPr>
            <w:t xml:space="preserve"> </w:t>
          </w:r>
          <w:r w:rsidRPr="006C4840">
            <w:rPr>
              <w:spacing w:val="-3"/>
              <w:sz w:val="19"/>
              <w:szCs w:val="19"/>
            </w:rPr>
            <w:t>Memorial  Avenue</w:t>
          </w:r>
          <w:r>
            <w:rPr>
              <w:spacing w:val="-3"/>
              <w:sz w:val="19"/>
              <w:szCs w:val="19"/>
            </w:rPr>
            <w:t xml:space="preserve"> </w:t>
          </w:r>
          <w:r>
            <w:rPr>
              <w:spacing w:val="-3"/>
              <w:sz w:val="19"/>
              <w:szCs w:val="19"/>
            </w:rPr>
            <w:br/>
            <w:t>Alice Springs NT 0871</w:t>
          </w:r>
        </w:p>
        <w:p w14:paraId="1905F0F7" w14:textId="77777777" w:rsidR="00A75ACB" w:rsidRPr="00A75ACB" w:rsidRDefault="00CD680B" w:rsidP="00B368A4">
          <w:pPr>
            <w:jc w:val="right"/>
            <w:rPr>
              <w:sz w:val="19"/>
              <w:szCs w:val="19"/>
            </w:rPr>
          </w:pPr>
          <w:r w:rsidRPr="00A75ACB">
            <w:rPr>
              <w:sz w:val="19"/>
              <w:szCs w:val="19"/>
            </w:rPr>
            <w:t>Postal</w:t>
          </w:r>
          <w:r w:rsidRPr="00A75ACB">
            <w:rPr>
              <w:spacing w:val="20"/>
              <w:sz w:val="19"/>
              <w:szCs w:val="19"/>
            </w:rPr>
            <w:t xml:space="preserve"> </w:t>
          </w:r>
          <w:r w:rsidRPr="00A75ACB">
            <w:rPr>
              <w:sz w:val="19"/>
              <w:szCs w:val="19"/>
            </w:rPr>
            <w:t>address</w:t>
          </w:r>
        </w:p>
        <w:p w14:paraId="13FA01BC" w14:textId="77777777" w:rsidR="00086FF8" w:rsidRDefault="00CD680B" w:rsidP="00086FF8">
          <w:pPr>
            <w:jc w:val="right"/>
            <w:rPr>
              <w:w w:val="105"/>
              <w:sz w:val="19"/>
              <w:szCs w:val="19"/>
            </w:rPr>
          </w:pPr>
          <w:r>
            <w:rPr>
              <w:w w:val="105"/>
              <w:sz w:val="19"/>
              <w:szCs w:val="19"/>
            </w:rPr>
            <w:t>PO Box 3521</w:t>
          </w:r>
        </w:p>
        <w:p w14:paraId="79214024" w14:textId="77777777" w:rsidR="00A75ACB" w:rsidRPr="00A75ACB" w:rsidRDefault="00CD680B" w:rsidP="00086FF8">
          <w:pPr>
            <w:jc w:val="right"/>
            <w:rPr>
              <w:sz w:val="19"/>
              <w:szCs w:val="19"/>
            </w:rPr>
          </w:pPr>
          <w:r>
            <w:rPr>
              <w:w w:val="105"/>
              <w:sz w:val="19"/>
              <w:szCs w:val="19"/>
            </w:rPr>
            <w:t>Alice Springs NT 0871</w:t>
          </w:r>
          <w:r w:rsidRPr="00A75ACB">
            <w:rPr>
              <w:w w:val="105"/>
              <w:sz w:val="19"/>
              <w:szCs w:val="19"/>
            </w:rPr>
            <w:br/>
          </w:r>
        </w:p>
        <w:p w14:paraId="0BA6A3C9" w14:textId="77777777" w:rsidR="00A75ACB" w:rsidRPr="00A75ACB" w:rsidRDefault="00CD680B" w:rsidP="00A75ACB">
          <w:pPr>
            <w:jc w:val="right"/>
            <w:rPr>
              <w:sz w:val="19"/>
              <w:szCs w:val="19"/>
            </w:rPr>
          </w:pPr>
          <w:r w:rsidRPr="00856F9B">
            <w:rPr>
              <w:b/>
              <w:color w:val="44546A" w:themeColor="text2"/>
              <w:w w:val="95"/>
              <w:sz w:val="19"/>
              <w:szCs w:val="19"/>
            </w:rPr>
            <w:t>E</w:t>
          </w:r>
          <w:r w:rsidRPr="00A75ACB">
            <w:rPr>
              <w:b/>
              <w:color w:val="EB6321"/>
              <w:spacing w:val="18"/>
              <w:w w:val="95"/>
              <w:sz w:val="19"/>
              <w:szCs w:val="19"/>
            </w:rPr>
            <w:t xml:space="preserve"> </w:t>
          </w:r>
          <w:r>
            <w:rPr>
              <w:sz w:val="19"/>
              <w:szCs w:val="19"/>
            </w:rPr>
            <w:t>felicity.green3</w:t>
          </w:r>
          <w:r w:rsidRPr="00086FF8">
            <w:rPr>
              <w:sz w:val="19"/>
              <w:szCs w:val="19"/>
            </w:rPr>
            <w:t>@nt.gov.au</w:t>
          </w:r>
          <w:r w:rsidRPr="00A75ACB">
            <w:rPr>
              <w:sz w:val="19"/>
              <w:szCs w:val="19"/>
            </w:rPr>
            <w:br/>
          </w:r>
        </w:p>
        <w:p w14:paraId="12E60F7E" w14:textId="77777777" w:rsidR="00A75ACB" w:rsidRPr="00A75ACB" w:rsidRDefault="00CD680B" w:rsidP="00A75ACB">
          <w:pPr>
            <w:jc w:val="right"/>
            <w:rPr>
              <w:sz w:val="19"/>
              <w:szCs w:val="19"/>
            </w:rPr>
          </w:pPr>
          <w:r w:rsidRPr="00856F9B">
            <w:rPr>
              <w:b/>
              <w:color w:val="44546A" w:themeColor="text2"/>
              <w:w w:val="110"/>
              <w:sz w:val="19"/>
              <w:szCs w:val="19"/>
            </w:rPr>
            <w:t>T</w:t>
          </w:r>
          <w:r w:rsidRPr="00A75ACB">
            <w:rPr>
              <w:b/>
              <w:color w:val="EB6321"/>
              <w:spacing w:val="-20"/>
              <w:w w:val="110"/>
              <w:sz w:val="19"/>
              <w:szCs w:val="19"/>
            </w:rPr>
            <w:t xml:space="preserve"> </w:t>
          </w:r>
          <w:r w:rsidRPr="00A75ACB">
            <w:rPr>
              <w:w w:val="110"/>
              <w:sz w:val="19"/>
              <w:szCs w:val="19"/>
            </w:rPr>
            <w:t>08</w:t>
          </w:r>
          <w:r w:rsidRPr="00A75ACB">
            <w:rPr>
              <w:spacing w:val="-23"/>
              <w:w w:val="110"/>
              <w:sz w:val="19"/>
              <w:szCs w:val="19"/>
            </w:rPr>
            <w:t xml:space="preserve"> </w:t>
          </w:r>
          <w:r w:rsidRPr="00A75ACB">
            <w:rPr>
              <w:w w:val="110"/>
              <w:sz w:val="19"/>
              <w:szCs w:val="19"/>
            </w:rPr>
            <w:t>89</w:t>
          </w:r>
          <w:r>
            <w:rPr>
              <w:w w:val="110"/>
              <w:sz w:val="19"/>
              <w:szCs w:val="19"/>
            </w:rPr>
            <w:t>51 1126</w:t>
          </w:r>
          <w:r w:rsidRPr="00A75ACB">
            <w:rPr>
              <w:w w:val="110"/>
              <w:sz w:val="19"/>
              <w:szCs w:val="19"/>
            </w:rPr>
            <w:br/>
          </w:r>
        </w:p>
        <w:p w14:paraId="1EED1477" w14:textId="77777777" w:rsidR="00A75ACB" w:rsidRPr="00B368A4" w:rsidRDefault="00DF7392" w:rsidP="00B368A4">
          <w:pPr>
            <w:jc w:val="right"/>
            <w:rPr>
              <w:sz w:val="19"/>
              <w:szCs w:val="19"/>
            </w:rPr>
          </w:pPr>
        </w:p>
      </w:tc>
    </w:tr>
  </w:tbl>
  <w:p w14:paraId="3B9CB34D" w14:textId="77777777" w:rsidR="00E908F1" w:rsidRPr="000E3ED2" w:rsidRDefault="00CD680B" w:rsidP="00A75ACB">
    <w:pPr>
      <w:pStyle w:val="Hidden"/>
    </w:pPr>
    <w:r>
      <w:rPr>
        <w:noProof/>
        <w:lang w:eastAsia="en-AU"/>
      </w:rPr>
      <mc:AlternateContent>
        <mc:Choice Requires="wps">
          <w:drawing>
            <wp:anchor distT="0" distB="0" distL="114300" distR="114300" simplePos="0" relativeHeight="251656704" behindDoc="0" locked="0" layoutInCell="1" allowOverlap="1" wp14:anchorId="29F664C3" wp14:editId="6C84548B">
              <wp:simplePos x="0" y="0"/>
              <wp:positionH relativeFrom="column">
                <wp:posOffset>-245658069</wp:posOffset>
              </wp:positionH>
              <wp:positionV relativeFrom="paragraph">
                <wp:posOffset>-248840307</wp:posOffset>
              </wp:positionV>
              <wp:extent cx="302895" cy="143510"/>
              <wp:effectExtent l="3493" t="0" r="5397" b="5398"/>
              <wp:wrapNone/>
              <wp:docPr id="2" name="Rectangle 2"/>
              <wp:cNvGraphicFramePr/>
              <a:graphic xmlns:a="http://schemas.openxmlformats.org/drawingml/2006/main">
                <a:graphicData uri="http://schemas.microsoft.com/office/word/2010/wordprocessingShape">
                  <wps:wsp>
                    <wps:cNvSpPr/>
                    <wps:spPr>
                      <a:xfrm rot="5400000">
                        <a:off x="0" y="0"/>
                        <a:ext cx="302895" cy="1435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41FD6" id="Rectangle 2" o:spid="_x0000_s1026" style="position:absolute;margin-left:-19343.15pt;margin-top:-19593.7pt;width:23.85pt;height:11.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" fillcolor="#5b9bd5 [3204]" stroked="f" strokeweight="1pt"/>
          </w:pict>
        </mc:Fallback>
      </mc:AlternateContent>
    </w:r>
  </w:p>
  <w:p w14:paraId="059775E8" w14:textId="77777777" w:rsidR="00A00844" w:rsidRDefault="00A00844"/>
  <w:p w14:paraId="1E92EC19" w14:textId="77777777" w:rsidR="00A00844" w:rsidRDefault="00A008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8313A"/>
    <w:multiLevelType w:val="hybridMultilevel"/>
    <w:tmpl w:val="6E821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4C1DCE"/>
    <w:multiLevelType w:val="hybridMultilevel"/>
    <w:tmpl w:val="55D06692"/>
    <w:lvl w:ilvl="0" w:tplc="53CAD380">
      <w:numFmt w:val="bullet"/>
      <w:lvlText w:val=""/>
      <w:lvlJc w:val="left"/>
      <w:pPr>
        <w:ind w:left="1700" w:hanging="428"/>
      </w:pPr>
      <w:rPr>
        <w:rFonts w:ascii="Symbol" w:eastAsia="Symbol" w:hAnsi="Symbol" w:cs="Symbol" w:hint="default"/>
        <w:w w:val="100"/>
        <w:sz w:val="22"/>
        <w:szCs w:val="22"/>
        <w:lang w:val="en-AU" w:eastAsia="en-AU" w:bidi="en-AU"/>
      </w:rPr>
    </w:lvl>
    <w:lvl w:ilvl="1" w:tplc="55CCD356">
      <w:numFmt w:val="bullet"/>
      <w:lvlText w:val=""/>
      <w:lvlJc w:val="left"/>
      <w:pPr>
        <w:ind w:left="1842" w:hanging="360"/>
      </w:pPr>
      <w:rPr>
        <w:rFonts w:ascii="Symbol" w:eastAsia="Symbol" w:hAnsi="Symbol" w:cs="Symbol" w:hint="default"/>
        <w:w w:val="100"/>
        <w:sz w:val="22"/>
        <w:szCs w:val="22"/>
        <w:lang w:val="en-AU" w:eastAsia="en-AU" w:bidi="en-AU"/>
      </w:rPr>
    </w:lvl>
    <w:lvl w:ilvl="2" w:tplc="0E08A914">
      <w:numFmt w:val="bullet"/>
      <w:lvlText w:val="•"/>
      <w:lvlJc w:val="left"/>
      <w:pPr>
        <w:ind w:left="2820" w:hanging="360"/>
      </w:pPr>
      <w:rPr>
        <w:rFonts w:hint="default"/>
        <w:lang w:val="en-AU" w:eastAsia="en-AU" w:bidi="en-AU"/>
      </w:rPr>
    </w:lvl>
    <w:lvl w:ilvl="3" w:tplc="F9CC887C">
      <w:numFmt w:val="bullet"/>
      <w:lvlText w:val="•"/>
      <w:lvlJc w:val="left"/>
      <w:pPr>
        <w:ind w:left="3801" w:hanging="360"/>
      </w:pPr>
      <w:rPr>
        <w:rFonts w:hint="default"/>
        <w:lang w:val="en-AU" w:eastAsia="en-AU" w:bidi="en-AU"/>
      </w:rPr>
    </w:lvl>
    <w:lvl w:ilvl="4" w:tplc="A71E9C90">
      <w:numFmt w:val="bullet"/>
      <w:lvlText w:val="•"/>
      <w:lvlJc w:val="left"/>
      <w:pPr>
        <w:ind w:left="4782" w:hanging="360"/>
      </w:pPr>
      <w:rPr>
        <w:rFonts w:hint="default"/>
        <w:lang w:val="en-AU" w:eastAsia="en-AU" w:bidi="en-AU"/>
      </w:rPr>
    </w:lvl>
    <w:lvl w:ilvl="5" w:tplc="B5C6FB00">
      <w:numFmt w:val="bullet"/>
      <w:lvlText w:val="•"/>
      <w:lvlJc w:val="left"/>
      <w:pPr>
        <w:ind w:left="5762" w:hanging="360"/>
      </w:pPr>
      <w:rPr>
        <w:rFonts w:hint="default"/>
        <w:lang w:val="en-AU" w:eastAsia="en-AU" w:bidi="en-AU"/>
      </w:rPr>
    </w:lvl>
    <w:lvl w:ilvl="6" w:tplc="F0186A84">
      <w:numFmt w:val="bullet"/>
      <w:lvlText w:val="•"/>
      <w:lvlJc w:val="left"/>
      <w:pPr>
        <w:ind w:left="6743" w:hanging="360"/>
      </w:pPr>
      <w:rPr>
        <w:rFonts w:hint="default"/>
        <w:lang w:val="en-AU" w:eastAsia="en-AU" w:bidi="en-AU"/>
      </w:rPr>
    </w:lvl>
    <w:lvl w:ilvl="7" w:tplc="BA2E3000">
      <w:numFmt w:val="bullet"/>
      <w:lvlText w:val="•"/>
      <w:lvlJc w:val="left"/>
      <w:pPr>
        <w:ind w:left="7724" w:hanging="360"/>
      </w:pPr>
      <w:rPr>
        <w:rFonts w:hint="default"/>
        <w:lang w:val="en-AU" w:eastAsia="en-AU" w:bidi="en-AU"/>
      </w:rPr>
    </w:lvl>
    <w:lvl w:ilvl="8" w:tplc="F350E0C4">
      <w:numFmt w:val="bullet"/>
      <w:lvlText w:val="•"/>
      <w:lvlJc w:val="left"/>
      <w:pPr>
        <w:ind w:left="8704" w:hanging="360"/>
      </w:pPr>
      <w:rPr>
        <w:rFonts w:hint="default"/>
        <w:lang w:val="en-AU" w:eastAsia="en-AU" w:bidi="en-AU"/>
      </w:rPr>
    </w:lvl>
  </w:abstractNum>
  <w:abstractNum w:abstractNumId="2" w15:restartNumberingAfterBreak="0">
    <w:nsid w:val="6F8D5534"/>
    <w:multiLevelType w:val="hybridMultilevel"/>
    <w:tmpl w:val="FF9469A0"/>
    <w:lvl w:ilvl="0" w:tplc="0C090001">
      <w:start w:val="1"/>
      <w:numFmt w:val="bullet"/>
      <w:lvlText w:val=""/>
      <w:lvlJc w:val="left"/>
      <w:pPr>
        <w:ind w:left="1568" w:hanging="360"/>
      </w:pPr>
      <w:rPr>
        <w:rFonts w:ascii="Symbol" w:hAnsi="Symbol" w:hint="default"/>
      </w:rPr>
    </w:lvl>
    <w:lvl w:ilvl="1" w:tplc="0C090003" w:tentative="1">
      <w:start w:val="1"/>
      <w:numFmt w:val="bullet"/>
      <w:lvlText w:val="o"/>
      <w:lvlJc w:val="left"/>
      <w:pPr>
        <w:ind w:left="2288" w:hanging="360"/>
      </w:pPr>
      <w:rPr>
        <w:rFonts w:ascii="Courier New" w:hAnsi="Courier New" w:cs="Courier New" w:hint="default"/>
      </w:rPr>
    </w:lvl>
    <w:lvl w:ilvl="2" w:tplc="0C090005" w:tentative="1">
      <w:start w:val="1"/>
      <w:numFmt w:val="bullet"/>
      <w:lvlText w:val=""/>
      <w:lvlJc w:val="left"/>
      <w:pPr>
        <w:ind w:left="3008" w:hanging="360"/>
      </w:pPr>
      <w:rPr>
        <w:rFonts w:ascii="Wingdings" w:hAnsi="Wingdings" w:hint="default"/>
      </w:rPr>
    </w:lvl>
    <w:lvl w:ilvl="3" w:tplc="0C090001" w:tentative="1">
      <w:start w:val="1"/>
      <w:numFmt w:val="bullet"/>
      <w:lvlText w:val=""/>
      <w:lvlJc w:val="left"/>
      <w:pPr>
        <w:ind w:left="3728" w:hanging="360"/>
      </w:pPr>
      <w:rPr>
        <w:rFonts w:ascii="Symbol" w:hAnsi="Symbol" w:hint="default"/>
      </w:rPr>
    </w:lvl>
    <w:lvl w:ilvl="4" w:tplc="0C090003" w:tentative="1">
      <w:start w:val="1"/>
      <w:numFmt w:val="bullet"/>
      <w:lvlText w:val="o"/>
      <w:lvlJc w:val="left"/>
      <w:pPr>
        <w:ind w:left="4448" w:hanging="360"/>
      </w:pPr>
      <w:rPr>
        <w:rFonts w:ascii="Courier New" w:hAnsi="Courier New" w:cs="Courier New" w:hint="default"/>
      </w:rPr>
    </w:lvl>
    <w:lvl w:ilvl="5" w:tplc="0C090005" w:tentative="1">
      <w:start w:val="1"/>
      <w:numFmt w:val="bullet"/>
      <w:lvlText w:val=""/>
      <w:lvlJc w:val="left"/>
      <w:pPr>
        <w:ind w:left="5168" w:hanging="360"/>
      </w:pPr>
      <w:rPr>
        <w:rFonts w:ascii="Wingdings" w:hAnsi="Wingdings" w:hint="default"/>
      </w:rPr>
    </w:lvl>
    <w:lvl w:ilvl="6" w:tplc="0C090001" w:tentative="1">
      <w:start w:val="1"/>
      <w:numFmt w:val="bullet"/>
      <w:lvlText w:val=""/>
      <w:lvlJc w:val="left"/>
      <w:pPr>
        <w:ind w:left="5888" w:hanging="360"/>
      </w:pPr>
      <w:rPr>
        <w:rFonts w:ascii="Symbol" w:hAnsi="Symbol" w:hint="default"/>
      </w:rPr>
    </w:lvl>
    <w:lvl w:ilvl="7" w:tplc="0C090003" w:tentative="1">
      <w:start w:val="1"/>
      <w:numFmt w:val="bullet"/>
      <w:lvlText w:val="o"/>
      <w:lvlJc w:val="left"/>
      <w:pPr>
        <w:ind w:left="6608" w:hanging="360"/>
      </w:pPr>
      <w:rPr>
        <w:rFonts w:ascii="Courier New" w:hAnsi="Courier New" w:cs="Courier New" w:hint="default"/>
      </w:rPr>
    </w:lvl>
    <w:lvl w:ilvl="8" w:tplc="0C090005" w:tentative="1">
      <w:start w:val="1"/>
      <w:numFmt w:val="bullet"/>
      <w:lvlText w:val=""/>
      <w:lvlJc w:val="left"/>
      <w:pPr>
        <w:ind w:left="73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1B"/>
    <w:rsid w:val="000A42C7"/>
    <w:rsid w:val="001303A5"/>
    <w:rsid w:val="00145A5D"/>
    <w:rsid w:val="0016141C"/>
    <w:rsid w:val="00222EAB"/>
    <w:rsid w:val="00223B46"/>
    <w:rsid w:val="0025231C"/>
    <w:rsid w:val="00321643"/>
    <w:rsid w:val="00405E46"/>
    <w:rsid w:val="004C3351"/>
    <w:rsid w:val="004E1DA0"/>
    <w:rsid w:val="005208F4"/>
    <w:rsid w:val="005245EB"/>
    <w:rsid w:val="00553538"/>
    <w:rsid w:val="006231DA"/>
    <w:rsid w:val="006925D2"/>
    <w:rsid w:val="00736D97"/>
    <w:rsid w:val="008262BE"/>
    <w:rsid w:val="008572FB"/>
    <w:rsid w:val="0098411B"/>
    <w:rsid w:val="00A00844"/>
    <w:rsid w:val="00A041EA"/>
    <w:rsid w:val="00A74741"/>
    <w:rsid w:val="00A83802"/>
    <w:rsid w:val="00AA41E9"/>
    <w:rsid w:val="00BC150B"/>
    <w:rsid w:val="00C17449"/>
    <w:rsid w:val="00CB1581"/>
    <w:rsid w:val="00CD1D75"/>
    <w:rsid w:val="00CD680B"/>
    <w:rsid w:val="00D305E6"/>
    <w:rsid w:val="00D95C86"/>
    <w:rsid w:val="00DA67D3"/>
    <w:rsid w:val="00DF7392"/>
    <w:rsid w:val="00E01AA4"/>
    <w:rsid w:val="00E25F4B"/>
    <w:rsid w:val="00E64FFD"/>
    <w:rsid w:val="00F3339A"/>
    <w:rsid w:val="00FB377B"/>
    <w:rsid w:val="00FC3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F8CBC"/>
  <w15:chartTrackingRefBased/>
  <w15:docId w15:val="{4734215B-8C79-415E-9C7C-64BDB50B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11B"/>
    <w:pPr>
      <w:spacing w:after="0" w:line="240" w:lineRule="auto"/>
    </w:pPr>
    <w:rPr>
      <w:sz w:val="24"/>
      <w:szCs w:val="24"/>
      <w:lang w:val="en-GB"/>
    </w:rPr>
  </w:style>
  <w:style w:type="paragraph" w:styleId="Heading1">
    <w:name w:val="heading 1"/>
    <w:basedOn w:val="Normal"/>
    <w:link w:val="Heading1Char"/>
    <w:uiPriority w:val="1"/>
    <w:qFormat/>
    <w:rsid w:val="0098411B"/>
    <w:pPr>
      <w:widowControl w:val="0"/>
      <w:autoSpaceDE w:val="0"/>
      <w:autoSpaceDN w:val="0"/>
      <w:ind w:left="848"/>
      <w:jc w:val="both"/>
      <w:outlineLvl w:val="0"/>
    </w:pPr>
    <w:rPr>
      <w:rFonts w:ascii="Arial" w:eastAsia="Arial" w:hAnsi="Arial" w:cs="Arial"/>
      <w:b/>
      <w:bCs/>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
    <w:basedOn w:val="Normal"/>
    <w:next w:val="Normal"/>
    <w:link w:val="HeaderChar"/>
    <w:uiPriority w:val="8"/>
    <w:rsid w:val="0098411B"/>
    <w:pPr>
      <w:tabs>
        <w:tab w:val="right" w:pos="9638"/>
      </w:tabs>
      <w:spacing w:after="600"/>
    </w:pPr>
    <w:rPr>
      <w:rFonts w:ascii="Lato" w:eastAsia="Calibri" w:hAnsi="Lato" w:cs="Times New Roman"/>
      <w:sz w:val="22"/>
      <w:szCs w:val="22"/>
      <w:lang w:val="en-AU"/>
    </w:rPr>
  </w:style>
  <w:style w:type="character" w:customStyle="1" w:styleId="HeaderChar">
    <w:name w:val="Header Char"/>
    <w:aliases w:val="Page header Char"/>
    <w:basedOn w:val="DefaultParagraphFont"/>
    <w:link w:val="Header"/>
    <w:uiPriority w:val="8"/>
    <w:rsid w:val="0098411B"/>
    <w:rPr>
      <w:rFonts w:ascii="Lato" w:eastAsia="Calibri" w:hAnsi="Lato" w:cs="Times New Roman"/>
    </w:rPr>
  </w:style>
  <w:style w:type="table" w:styleId="TableGrid">
    <w:name w:val="Table Grid"/>
    <w:basedOn w:val="TableNormal"/>
    <w:uiPriority w:val="59"/>
    <w:rsid w:val="0098411B"/>
    <w:pPr>
      <w:spacing w:after="20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Page number"/>
    <w:basedOn w:val="DefaultParagraphFont"/>
    <w:uiPriority w:val="8"/>
    <w:rsid w:val="0098411B"/>
    <w:rPr>
      <w:sz w:val="19"/>
    </w:rPr>
  </w:style>
  <w:style w:type="paragraph" w:customStyle="1" w:styleId="Hidden">
    <w:name w:val="Hidden"/>
    <w:basedOn w:val="Normal"/>
    <w:uiPriority w:val="9"/>
    <w:rsid w:val="0098411B"/>
    <w:rPr>
      <w:rFonts w:ascii="Lato" w:eastAsia="Calibri" w:hAnsi="Lato" w:cs="Times New Roman"/>
      <w:sz w:val="2"/>
      <w:szCs w:val="2"/>
      <w:lang w:val="en-AU"/>
    </w:rPr>
  </w:style>
  <w:style w:type="paragraph" w:styleId="BodyText">
    <w:name w:val="Body Text"/>
    <w:basedOn w:val="Normal"/>
    <w:link w:val="BodyTextChar"/>
    <w:uiPriority w:val="1"/>
    <w:unhideWhenUsed/>
    <w:qFormat/>
    <w:rsid w:val="0098411B"/>
    <w:pPr>
      <w:widowControl w:val="0"/>
      <w:autoSpaceDE w:val="0"/>
      <w:autoSpaceDN w:val="0"/>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98411B"/>
    <w:rPr>
      <w:rFonts w:ascii="Arial" w:eastAsia="Arial" w:hAnsi="Arial" w:cs="Arial"/>
      <w:sz w:val="19"/>
      <w:szCs w:val="19"/>
      <w:lang w:val="en-US"/>
    </w:rPr>
  </w:style>
  <w:style w:type="paragraph" w:styleId="ListParagraph">
    <w:name w:val="List Paragraph"/>
    <w:basedOn w:val="Normal"/>
    <w:uiPriority w:val="1"/>
    <w:qFormat/>
    <w:rsid w:val="0098411B"/>
    <w:pPr>
      <w:ind w:left="720"/>
      <w:contextualSpacing/>
    </w:pPr>
  </w:style>
  <w:style w:type="character" w:customStyle="1" w:styleId="Heading1Char">
    <w:name w:val="Heading 1 Char"/>
    <w:basedOn w:val="DefaultParagraphFont"/>
    <w:link w:val="Heading1"/>
    <w:uiPriority w:val="1"/>
    <w:rsid w:val="0098411B"/>
    <w:rPr>
      <w:rFonts w:ascii="Arial" w:eastAsia="Arial" w:hAnsi="Arial" w:cs="Arial"/>
      <w:b/>
      <w:bCs/>
      <w:sz w:val="24"/>
      <w:szCs w:val="24"/>
      <w:lang w:eastAsia="en-AU" w:bidi="en-AU"/>
    </w:rPr>
  </w:style>
  <w:style w:type="character" w:styleId="Hyperlink">
    <w:name w:val="Hyperlink"/>
    <w:basedOn w:val="DefaultParagraphFont"/>
    <w:uiPriority w:val="99"/>
    <w:unhideWhenUsed/>
    <w:rsid w:val="00736D97"/>
    <w:rPr>
      <w:color w:val="0563C1" w:themeColor="hyperlink"/>
      <w:u w:val="single"/>
    </w:rPr>
  </w:style>
  <w:style w:type="paragraph" w:styleId="BalloonText">
    <w:name w:val="Balloon Text"/>
    <w:basedOn w:val="Normal"/>
    <w:link w:val="BalloonTextChar"/>
    <w:uiPriority w:val="99"/>
    <w:semiHidden/>
    <w:unhideWhenUsed/>
    <w:rsid w:val="00FB3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7B"/>
    <w:rPr>
      <w:rFonts w:ascii="Segoe UI" w:hAnsi="Segoe UI" w:cs="Segoe UI"/>
      <w:sz w:val="18"/>
      <w:szCs w:val="18"/>
      <w:lang w:val="en-GB"/>
    </w:rPr>
  </w:style>
  <w:style w:type="character" w:styleId="CommentReference">
    <w:name w:val="annotation reference"/>
    <w:basedOn w:val="DefaultParagraphFont"/>
    <w:uiPriority w:val="99"/>
    <w:semiHidden/>
    <w:unhideWhenUsed/>
    <w:rsid w:val="0016141C"/>
    <w:rPr>
      <w:sz w:val="16"/>
      <w:szCs w:val="16"/>
    </w:rPr>
  </w:style>
  <w:style w:type="paragraph" w:styleId="CommentText">
    <w:name w:val="annotation text"/>
    <w:basedOn w:val="Normal"/>
    <w:link w:val="CommentTextChar"/>
    <w:uiPriority w:val="99"/>
    <w:semiHidden/>
    <w:unhideWhenUsed/>
    <w:rsid w:val="0016141C"/>
    <w:rPr>
      <w:sz w:val="20"/>
      <w:szCs w:val="20"/>
    </w:rPr>
  </w:style>
  <w:style w:type="character" w:customStyle="1" w:styleId="CommentTextChar">
    <w:name w:val="Comment Text Char"/>
    <w:basedOn w:val="DefaultParagraphFont"/>
    <w:link w:val="CommentText"/>
    <w:uiPriority w:val="99"/>
    <w:semiHidden/>
    <w:rsid w:val="0016141C"/>
    <w:rPr>
      <w:sz w:val="20"/>
      <w:szCs w:val="20"/>
      <w:lang w:val="en-GB"/>
    </w:rPr>
  </w:style>
  <w:style w:type="paragraph" w:styleId="CommentSubject">
    <w:name w:val="annotation subject"/>
    <w:basedOn w:val="CommentText"/>
    <w:next w:val="CommentText"/>
    <w:link w:val="CommentSubjectChar"/>
    <w:uiPriority w:val="99"/>
    <w:semiHidden/>
    <w:unhideWhenUsed/>
    <w:rsid w:val="0016141C"/>
    <w:rPr>
      <w:b/>
      <w:bCs/>
    </w:rPr>
  </w:style>
  <w:style w:type="character" w:customStyle="1" w:styleId="CommentSubjectChar">
    <w:name w:val="Comment Subject Char"/>
    <w:basedOn w:val="CommentTextChar"/>
    <w:link w:val="CommentSubject"/>
    <w:uiPriority w:val="99"/>
    <w:semiHidden/>
    <w:rsid w:val="0016141C"/>
    <w:rPr>
      <w:b/>
      <w:bCs/>
      <w:sz w:val="20"/>
      <w:szCs w:val="20"/>
      <w:lang w:val="en-GB"/>
    </w:rPr>
  </w:style>
  <w:style w:type="paragraph" w:styleId="Footer">
    <w:name w:val="footer"/>
    <w:basedOn w:val="Normal"/>
    <w:link w:val="FooterChar"/>
    <w:uiPriority w:val="99"/>
    <w:unhideWhenUsed/>
    <w:rsid w:val="005245EB"/>
    <w:pPr>
      <w:tabs>
        <w:tab w:val="center" w:pos="4513"/>
        <w:tab w:val="right" w:pos="9026"/>
      </w:tabs>
    </w:pPr>
  </w:style>
  <w:style w:type="character" w:customStyle="1" w:styleId="FooterChar">
    <w:name w:val="Footer Char"/>
    <w:basedOn w:val="DefaultParagraphFont"/>
    <w:link w:val="Footer"/>
    <w:uiPriority w:val="99"/>
    <w:rsid w:val="005245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city.green3@nt.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731E-A358-4FE9-9807-DE4E6004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4410</Characters>
  <Application>Microsoft Office Word</Application>
  <DocSecurity>4</DocSecurity>
  <Lines>86</Lines>
  <Paragraphs>50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Green</dc:creator>
  <cp:keywords/>
  <dc:description/>
  <cp:lastModifiedBy>Tess Therese O'Loughlin</cp:lastModifiedBy>
  <cp:revision>2</cp:revision>
  <dcterms:created xsi:type="dcterms:W3CDTF">2022-05-10T05:36:00Z</dcterms:created>
  <dcterms:modified xsi:type="dcterms:W3CDTF">2022-05-10T05:36:00Z</dcterms:modified>
</cp:coreProperties>
</file>